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黑体" w:hAnsi="黑体" w:eastAsia="黑体" w:cs="宋体"/>
          <w:color w:val="000000" w:themeColor="text1"/>
          <w:spacing w:val="0"/>
          <w:sz w:val="28"/>
          <w:szCs w:val="24"/>
          <w14:textFill>
            <w14:solidFill>
              <w14:schemeClr w14:val="tx1"/>
            </w14:solidFill>
          </w14:textFill>
        </w:rPr>
      </w:pPr>
      <w:r>
        <w:rPr>
          <w:rFonts w:hint="eastAsia" w:ascii="黑体" w:hAnsi="黑体" w:eastAsia="黑体" w:cs="宋体"/>
          <w:b/>
          <w:bCs/>
          <w:color w:val="000000" w:themeColor="text1"/>
          <w:spacing w:val="0"/>
          <w:sz w:val="28"/>
          <w:szCs w:val="24"/>
          <w14:textFill>
            <w14:solidFill>
              <w14:schemeClr w14:val="tx1"/>
            </w14:solidFill>
          </w14:textFill>
        </w:rPr>
        <w:t>投资人权益告知书</w:t>
      </w:r>
    </w:p>
    <w:p>
      <w:pPr>
        <w:spacing w:line="360" w:lineRule="exact"/>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尊敬的投资人：</w:t>
      </w:r>
      <w:r>
        <w:rPr>
          <w:rFonts w:cs="宋体" w:asciiTheme="minorEastAsia" w:hAnsiTheme="minorEastAsia" w:eastAsiaTheme="minorEastAsia"/>
          <w:color w:val="000000" w:themeColor="text1"/>
          <w:spacing w:val="0"/>
          <w:sz w:val="18"/>
          <w:szCs w:val="18"/>
          <w14:textFill>
            <w14:solidFill>
              <w14:schemeClr w14:val="tx1"/>
            </w14:solidFill>
          </w14:textFill>
        </w:rPr>
        <w:t xml:space="preserve"> </w:t>
      </w:r>
    </w:p>
    <w:p>
      <w:pPr>
        <w:adjustRightInd w:val="0"/>
        <w:spacing w:line="360" w:lineRule="exact"/>
        <w:ind w:firstLine="360" w:firstLineChars="200"/>
        <w:rPr>
          <w:rFonts w:cs="宋体" w:asciiTheme="minorEastAsia" w:hAnsiTheme="minorEastAsia" w:eastAsiaTheme="minorEastAsia"/>
          <w:color w:val="000000" w:themeColor="text1"/>
          <w:spacing w:val="0"/>
          <w:sz w:val="18"/>
          <w:szCs w:val="18"/>
          <w:lang w:val="zh-CN"/>
          <w14:textFill>
            <w14:solidFill>
              <w14:schemeClr w14:val="tx1"/>
            </w14:solidFill>
          </w14:textFill>
        </w:rPr>
      </w:pPr>
      <w:r>
        <w:rPr>
          <w:rFonts w:hint="eastAsia" w:cs="宋体" w:asciiTheme="minorEastAsia" w:hAnsiTheme="minorEastAsia" w:eastAsiaTheme="minorEastAsia"/>
          <w:color w:val="000000" w:themeColor="text1"/>
          <w:spacing w:val="0"/>
          <w:sz w:val="18"/>
          <w:szCs w:val="18"/>
          <w:lang w:val="zh-CN"/>
          <w14:textFill>
            <w14:solidFill>
              <w14:schemeClr w14:val="tx1"/>
            </w14:solidFill>
          </w14:textFill>
        </w:rPr>
        <w:t>为了更好地保障您的投资权益，保护您的合法权益，请在投资证券投资基金/私募资产管理计划（以下简称“基金/资产管理计划”）前认真阅读以下内容：</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b/>
          <w:bCs/>
          <w:color w:val="000000" w:themeColor="text1"/>
          <w:spacing w:val="0"/>
          <w:sz w:val="18"/>
          <w:szCs w:val="18"/>
          <w14:textFill>
            <w14:solidFill>
              <w14:schemeClr w14:val="tx1"/>
            </w14:solidFill>
          </w14:textFill>
        </w:rPr>
        <w:t>一、</w:t>
      </w:r>
      <w:r>
        <w:rPr>
          <w:rFonts w:hint="eastAsia" w:asciiTheme="minorEastAsia" w:hAnsiTheme="minorEastAsia" w:eastAsiaTheme="minorEastAsia"/>
          <w:b/>
          <w:bCs/>
          <w:color w:val="000000" w:themeColor="text1"/>
          <w:spacing w:val="0"/>
          <w:sz w:val="18"/>
          <w:szCs w:val="18"/>
          <w:lang w:val="zh-CN"/>
          <w14:textFill>
            <w14:solidFill>
              <w14:schemeClr w14:val="tx1"/>
            </w14:solidFill>
          </w14:textFill>
        </w:rPr>
        <w:t>基金及资产管理计划的基本知识</w:t>
      </w:r>
    </w:p>
    <w:p>
      <w:pPr>
        <w:spacing w:line="360" w:lineRule="exact"/>
        <w:ind w:firstLine="360" w:firstLineChars="200"/>
        <w:rPr>
          <w:rFonts w:cs="宋体" w:asciiTheme="minorEastAsia" w:hAnsiTheme="minorEastAsia" w:eastAsiaTheme="minorEastAsia"/>
          <w:bCs/>
          <w:color w:val="000000" w:themeColor="text1"/>
          <w:spacing w:val="0"/>
          <w:sz w:val="18"/>
          <w:szCs w:val="18"/>
          <w14:textFill>
            <w14:solidFill>
              <w14:schemeClr w14:val="tx1"/>
            </w14:solidFill>
          </w14:textFill>
        </w:rPr>
      </w:pPr>
      <w:r>
        <w:rPr>
          <w:rFonts w:hint="eastAsia" w:cs="宋体" w:asciiTheme="minorEastAsia" w:hAnsiTheme="minorEastAsia" w:eastAsiaTheme="minorEastAsia"/>
          <w:bCs/>
          <w:color w:val="000000" w:themeColor="text1"/>
          <w:spacing w:val="0"/>
          <w:sz w:val="18"/>
          <w:szCs w:val="18"/>
          <w14:textFill>
            <w14:solidFill>
              <w14:schemeClr w14:val="tx1"/>
            </w14:solidFill>
          </w14:textFill>
        </w:rPr>
        <w:t>（一）什么是基金</w:t>
      </w:r>
    </w:p>
    <w:p>
      <w:pPr>
        <w:spacing w:line="360" w:lineRule="exact"/>
        <w:ind w:firstLine="360" w:firstLineChars="200"/>
        <w:rPr>
          <w:rFonts w:cs="宋体" w:asciiTheme="minorEastAsia" w:hAnsiTheme="minorEastAsia" w:eastAsiaTheme="minorEastAsia"/>
          <w:bCs/>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基金是指通过发售基金份额，将众多投资者的资金集中起来，形成独立财产，由基金托管人托管，基金管理人管理，以投资组合的方法进行证券投资的一种利益共享、风险共担的集合投资方式。</w:t>
      </w:r>
    </w:p>
    <w:p>
      <w:pPr>
        <w:spacing w:line="360" w:lineRule="exact"/>
        <w:ind w:firstLine="360" w:firstLineChars="200"/>
        <w:rPr>
          <w:rFonts w:cs="宋体" w:asciiTheme="minorEastAsia" w:hAnsiTheme="minorEastAsia" w:eastAsiaTheme="minorEastAsia"/>
          <w:bCs/>
          <w:color w:val="000000" w:themeColor="text1"/>
          <w:spacing w:val="0"/>
          <w:sz w:val="18"/>
          <w:szCs w:val="18"/>
          <w14:textFill>
            <w14:solidFill>
              <w14:schemeClr w14:val="tx1"/>
            </w14:solidFill>
          </w14:textFill>
        </w:rPr>
      </w:pPr>
      <w:r>
        <w:rPr>
          <w:rFonts w:cs="宋体" w:asciiTheme="minorEastAsia" w:hAnsiTheme="minorEastAsia" w:eastAsiaTheme="minorEastAsia"/>
          <w:bCs/>
          <w:color w:val="000000" w:themeColor="text1"/>
          <w:spacing w:val="0"/>
          <w:sz w:val="18"/>
          <w:szCs w:val="18"/>
          <w14:textFill>
            <w14:solidFill>
              <w14:schemeClr w14:val="tx1"/>
            </w14:solidFill>
          </w14:textFill>
        </w:rPr>
        <w:t>(二)什么是资产管理计划</w:t>
      </w:r>
    </w:p>
    <w:p>
      <w:pPr>
        <w:spacing w:line="360" w:lineRule="exact"/>
        <w:ind w:firstLine="360" w:firstLineChars="200"/>
        <w:rPr>
          <w:rFonts w:asciiTheme="minorEastAsia" w:hAnsiTheme="minorEastAsia"/>
          <w:color w:val="000000" w:themeColor="text1"/>
          <w:spacing w:val="0"/>
          <w:sz w:val="18"/>
          <w:lang w:val="zh-CN"/>
          <w14:textFill>
            <w14:solidFill>
              <w14:schemeClr w14:val="tx1"/>
            </w14:solidFill>
          </w14:textFill>
        </w:rPr>
      </w:pPr>
      <w:r>
        <w:rPr>
          <w:rFonts w:hint="eastAsia" w:cs="宋体" w:asciiTheme="minorEastAsia" w:hAnsiTheme="minorEastAsia" w:eastAsiaTheme="minorEastAsia"/>
          <w:color w:val="000000" w:themeColor="text1"/>
          <w:spacing w:val="0"/>
          <w:sz w:val="18"/>
          <w:szCs w:val="18"/>
          <w:lang w:val="zh-CN"/>
          <w14:textFill>
            <w14:solidFill>
              <w14:schemeClr w14:val="tx1"/>
            </w14:solidFill>
          </w14:textFill>
        </w:rPr>
        <w:t>资产管理计划是指证券期货经营机构非公开募集资金或者接受财产出资，设立私募资产管理计划并担任管理人，由托管机构担任托管人，依照法律法规和资产管理合同的约定，为投资者的利益进行投资活动。资产管理计划应当向合格投资者非公开募集。合格投资者是指具备相应风险识别能力和风险承受能力，投资于单只资产管理计划不低于一定金额且符合条件的自然人、法人或者其他组织。</w:t>
      </w:r>
    </w:p>
    <w:p>
      <w:pPr>
        <w:spacing w:line="360" w:lineRule="exact"/>
        <w:ind w:firstLine="360" w:firstLineChars="200"/>
        <w:rPr>
          <w:rFonts w:cs="宋体" w:asciiTheme="minorEastAsia" w:hAnsiTheme="minorEastAsia" w:eastAsiaTheme="minorEastAsia"/>
          <w:bCs/>
          <w:color w:val="000000" w:themeColor="text1"/>
          <w:spacing w:val="0"/>
          <w:sz w:val="18"/>
          <w:szCs w:val="18"/>
          <w14:textFill>
            <w14:solidFill>
              <w14:schemeClr w14:val="tx1"/>
            </w14:solidFill>
          </w14:textFill>
        </w:rPr>
      </w:pPr>
      <w:r>
        <w:rPr>
          <w:rFonts w:hint="eastAsia" w:cs="宋体" w:asciiTheme="minorEastAsia" w:hAnsiTheme="minorEastAsia" w:eastAsiaTheme="minorEastAsia"/>
          <w:bCs/>
          <w:color w:val="000000" w:themeColor="text1"/>
          <w:spacing w:val="0"/>
          <w:sz w:val="18"/>
          <w:szCs w:val="18"/>
          <w14:textFill>
            <w14:solidFill>
              <w14:schemeClr w14:val="tx1"/>
            </w14:solidFill>
          </w14:textFill>
        </w:rPr>
        <w:t>（三）基金与股票、债券、储蓄存款等其它金融工具的区别</w:t>
      </w:r>
    </w:p>
    <w:tbl>
      <w:tblPr>
        <w:tblStyle w:val="37"/>
        <w:tblW w:w="5000" w:type="pct"/>
        <w:tblInd w:w="0" w:type="dxa"/>
        <w:tblLayout w:type="autofit"/>
        <w:tblCellMar>
          <w:top w:w="0" w:type="dxa"/>
          <w:left w:w="108" w:type="dxa"/>
          <w:bottom w:w="0" w:type="dxa"/>
          <w:right w:w="108" w:type="dxa"/>
        </w:tblCellMar>
      </w:tblPr>
      <w:tblGrid>
        <w:gridCol w:w="1175"/>
        <w:gridCol w:w="2902"/>
        <w:gridCol w:w="1662"/>
        <w:gridCol w:w="2024"/>
        <w:gridCol w:w="2091"/>
      </w:tblGrid>
      <w:tr>
        <w:tblPrEx>
          <w:tblCellMar>
            <w:top w:w="0" w:type="dxa"/>
            <w:left w:w="108" w:type="dxa"/>
            <w:bottom w:w="0" w:type="dxa"/>
            <w:right w:w="108" w:type="dxa"/>
          </w:tblCellMar>
        </w:tblPrEx>
        <w:trPr>
          <w:trHeight w:val="20" w:hRule="atLeast"/>
        </w:trPr>
        <w:tc>
          <w:tcPr>
            <w:tcW w:w="59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b/>
                <w:color w:val="000000" w:themeColor="text1"/>
                <w:spacing w:val="0"/>
                <w:sz w:val="18"/>
                <w:szCs w:val="18"/>
                <w14:textFill>
                  <w14:solidFill>
                    <w14:schemeClr w14:val="tx1"/>
                  </w14:solidFill>
                </w14:textFill>
              </w:rPr>
            </w:pPr>
            <w:r>
              <w:rPr>
                <w:rFonts w:hint="eastAsia" w:cs="宋体" w:asciiTheme="minorEastAsia" w:hAnsiTheme="minorEastAsia" w:eastAsiaTheme="minorEastAsia"/>
                <w:b/>
                <w:color w:val="000000" w:themeColor="text1"/>
                <w:spacing w:val="0"/>
                <w:sz w:val="18"/>
                <w:szCs w:val="18"/>
                <w14:textFill>
                  <w14:solidFill>
                    <w14:schemeClr w14:val="tx1"/>
                  </w14:solidFill>
                </w14:textFill>
              </w:rPr>
              <w:t>　</w:t>
            </w:r>
          </w:p>
        </w:tc>
        <w:tc>
          <w:tcPr>
            <w:tcW w:w="1472" w:type="pct"/>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color w:val="000000" w:themeColor="text1"/>
                <w:spacing w:val="0"/>
                <w:sz w:val="18"/>
                <w:szCs w:val="18"/>
                <w14:textFill>
                  <w14:solidFill>
                    <w14:schemeClr w14:val="tx1"/>
                  </w14:solidFill>
                </w14:textFill>
              </w:rPr>
            </w:pPr>
            <w:r>
              <w:rPr>
                <w:rFonts w:hint="eastAsia" w:cs="宋体" w:asciiTheme="minorEastAsia" w:hAnsiTheme="minorEastAsia" w:eastAsiaTheme="minorEastAsia"/>
                <w:b/>
                <w:color w:val="000000" w:themeColor="text1"/>
                <w:spacing w:val="0"/>
                <w:sz w:val="18"/>
                <w:szCs w:val="18"/>
                <w14:textFill>
                  <w14:solidFill>
                    <w14:schemeClr w14:val="tx1"/>
                  </w14:solidFill>
                </w14:textFill>
              </w:rPr>
              <w:t>基金</w:t>
            </w:r>
          </w:p>
        </w:tc>
        <w:tc>
          <w:tcPr>
            <w:tcW w:w="843" w:type="pct"/>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color w:val="000000" w:themeColor="text1"/>
                <w:spacing w:val="0"/>
                <w:sz w:val="18"/>
                <w:szCs w:val="18"/>
                <w14:textFill>
                  <w14:solidFill>
                    <w14:schemeClr w14:val="tx1"/>
                  </w14:solidFill>
                </w14:textFill>
              </w:rPr>
            </w:pPr>
            <w:r>
              <w:rPr>
                <w:rFonts w:hint="eastAsia" w:cs="宋体" w:asciiTheme="minorEastAsia" w:hAnsiTheme="minorEastAsia" w:eastAsiaTheme="minorEastAsia"/>
                <w:b/>
                <w:color w:val="000000" w:themeColor="text1"/>
                <w:spacing w:val="0"/>
                <w:sz w:val="18"/>
                <w:szCs w:val="18"/>
                <w14:textFill>
                  <w14:solidFill>
                    <w14:schemeClr w14:val="tx1"/>
                  </w14:solidFill>
                </w14:textFill>
              </w:rPr>
              <w:t>股票</w:t>
            </w:r>
          </w:p>
        </w:tc>
        <w:tc>
          <w:tcPr>
            <w:tcW w:w="1027" w:type="pct"/>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color w:val="000000" w:themeColor="text1"/>
                <w:spacing w:val="0"/>
                <w:sz w:val="18"/>
                <w:szCs w:val="18"/>
                <w14:textFill>
                  <w14:solidFill>
                    <w14:schemeClr w14:val="tx1"/>
                  </w14:solidFill>
                </w14:textFill>
              </w:rPr>
            </w:pPr>
            <w:r>
              <w:rPr>
                <w:rFonts w:hint="eastAsia" w:cs="宋体" w:asciiTheme="minorEastAsia" w:hAnsiTheme="minorEastAsia" w:eastAsiaTheme="minorEastAsia"/>
                <w:b/>
                <w:color w:val="000000" w:themeColor="text1"/>
                <w:spacing w:val="0"/>
                <w:sz w:val="18"/>
                <w:szCs w:val="18"/>
                <w14:textFill>
                  <w14:solidFill>
                    <w14:schemeClr w14:val="tx1"/>
                  </w14:solidFill>
                </w14:textFill>
              </w:rPr>
              <w:t>债券</w:t>
            </w:r>
          </w:p>
        </w:tc>
        <w:tc>
          <w:tcPr>
            <w:tcW w:w="1061" w:type="pct"/>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color w:val="000000" w:themeColor="text1"/>
                <w:spacing w:val="0"/>
                <w:sz w:val="18"/>
                <w:szCs w:val="18"/>
                <w14:textFill>
                  <w14:solidFill>
                    <w14:schemeClr w14:val="tx1"/>
                  </w14:solidFill>
                </w14:textFill>
              </w:rPr>
            </w:pPr>
            <w:r>
              <w:rPr>
                <w:rFonts w:hint="eastAsia" w:cs="宋体" w:asciiTheme="minorEastAsia" w:hAnsiTheme="minorEastAsia" w:eastAsiaTheme="minorEastAsia"/>
                <w:b/>
                <w:color w:val="000000" w:themeColor="text1"/>
                <w:spacing w:val="0"/>
                <w:sz w:val="18"/>
                <w:szCs w:val="18"/>
                <w14:textFill>
                  <w14:solidFill>
                    <w14:schemeClr w14:val="tx1"/>
                  </w14:solidFill>
                </w14:textFill>
              </w:rPr>
              <w:t>银行储蓄存款</w:t>
            </w:r>
          </w:p>
        </w:tc>
      </w:tr>
      <w:tr>
        <w:tblPrEx>
          <w:tblCellMar>
            <w:top w:w="0" w:type="dxa"/>
            <w:left w:w="108" w:type="dxa"/>
            <w:bottom w:w="0" w:type="dxa"/>
            <w:right w:w="108" w:type="dxa"/>
          </w:tblCellMar>
        </w:tblPrEx>
        <w:trPr>
          <w:trHeight w:val="20" w:hRule="atLeast"/>
        </w:trPr>
        <w:tc>
          <w:tcPr>
            <w:tcW w:w="596"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color w:val="000000" w:themeColor="text1"/>
                <w:spacing w:val="0"/>
                <w:sz w:val="18"/>
                <w:szCs w:val="18"/>
                <w14:textFill>
                  <w14:solidFill>
                    <w14:schemeClr w14:val="tx1"/>
                  </w14:solidFill>
                </w14:textFill>
              </w:rPr>
            </w:pPr>
            <w:r>
              <w:rPr>
                <w:rFonts w:hint="eastAsia" w:cs="宋体" w:asciiTheme="minorEastAsia" w:hAnsiTheme="minorEastAsia" w:eastAsiaTheme="minorEastAsia"/>
                <w:b/>
                <w:color w:val="000000" w:themeColor="text1"/>
                <w:spacing w:val="0"/>
                <w:sz w:val="18"/>
                <w:szCs w:val="18"/>
                <w14:textFill>
                  <w14:solidFill>
                    <w14:schemeClr w14:val="tx1"/>
                  </w14:solidFill>
                </w14:textFill>
              </w:rPr>
              <w:t>反映的经济关系不同</w:t>
            </w:r>
          </w:p>
        </w:tc>
        <w:tc>
          <w:tcPr>
            <w:tcW w:w="1472" w:type="pct"/>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信托关系，是一种受益凭证，投资者购买基金份额后成为基金受益人，基金管理人只是替投资者管理资金，并不承担投资损失风险</w:t>
            </w:r>
          </w:p>
        </w:tc>
        <w:tc>
          <w:tcPr>
            <w:tcW w:w="843" w:type="pct"/>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所有权关系，是一种所有权凭证，投资者购买后成为公司股东</w:t>
            </w:r>
          </w:p>
        </w:tc>
        <w:tc>
          <w:tcPr>
            <w:tcW w:w="1027" w:type="pct"/>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债权债务关系，是一种债权凭证，投资者购买后成为该公司债权人</w:t>
            </w:r>
          </w:p>
        </w:tc>
        <w:tc>
          <w:tcPr>
            <w:tcW w:w="1061" w:type="pct"/>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表现为银行的负债，是一种信用凭证，银行对存款者负有法定的保本付息责任</w:t>
            </w:r>
          </w:p>
        </w:tc>
      </w:tr>
      <w:tr>
        <w:tblPrEx>
          <w:tblCellMar>
            <w:top w:w="0" w:type="dxa"/>
            <w:left w:w="108" w:type="dxa"/>
            <w:bottom w:w="0" w:type="dxa"/>
            <w:right w:w="108" w:type="dxa"/>
          </w:tblCellMar>
        </w:tblPrEx>
        <w:trPr>
          <w:trHeight w:val="20" w:hRule="atLeast"/>
        </w:trPr>
        <w:tc>
          <w:tcPr>
            <w:tcW w:w="596"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color w:val="000000" w:themeColor="text1"/>
                <w:spacing w:val="0"/>
                <w:sz w:val="18"/>
                <w:szCs w:val="18"/>
                <w14:textFill>
                  <w14:solidFill>
                    <w14:schemeClr w14:val="tx1"/>
                  </w14:solidFill>
                </w14:textFill>
              </w:rPr>
            </w:pPr>
            <w:r>
              <w:rPr>
                <w:rFonts w:hint="eastAsia" w:cs="宋体" w:asciiTheme="minorEastAsia" w:hAnsiTheme="minorEastAsia" w:eastAsiaTheme="minorEastAsia"/>
                <w:b/>
                <w:color w:val="000000" w:themeColor="text1"/>
                <w:spacing w:val="0"/>
                <w:sz w:val="18"/>
                <w:szCs w:val="18"/>
                <w14:textFill>
                  <w14:solidFill>
                    <w14:schemeClr w14:val="tx1"/>
                  </w14:solidFill>
                </w14:textFill>
              </w:rPr>
              <w:t>所筹资金的投向不同</w:t>
            </w:r>
          </w:p>
        </w:tc>
        <w:tc>
          <w:tcPr>
            <w:tcW w:w="1472" w:type="pct"/>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间接投资工具，主要投向股票、债券等有价证券</w:t>
            </w:r>
          </w:p>
        </w:tc>
        <w:tc>
          <w:tcPr>
            <w:tcW w:w="843" w:type="pct"/>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直接投资工具，主要投向实业领域</w:t>
            </w:r>
          </w:p>
        </w:tc>
        <w:tc>
          <w:tcPr>
            <w:tcW w:w="1027" w:type="pct"/>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直接投资工具，主要投向实业领域</w:t>
            </w:r>
          </w:p>
        </w:tc>
        <w:tc>
          <w:tcPr>
            <w:tcW w:w="1061" w:type="pct"/>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间接投资工具，银行负责资金用途和投向</w:t>
            </w:r>
          </w:p>
        </w:tc>
      </w:tr>
      <w:tr>
        <w:tblPrEx>
          <w:tblCellMar>
            <w:top w:w="0" w:type="dxa"/>
            <w:left w:w="108" w:type="dxa"/>
            <w:bottom w:w="0" w:type="dxa"/>
            <w:right w:w="108" w:type="dxa"/>
          </w:tblCellMar>
        </w:tblPrEx>
        <w:trPr>
          <w:trHeight w:val="20" w:hRule="atLeast"/>
        </w:trPr>
        <w:tc>
          <w:tcPr>
            <w:tcW w:w="596"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color w:val="000000" w:themeColor="text1"/>
                <w:spacing w:val="0"/>
                <w:sz w:val="18"/>
                <w:szCs w:val="18"/>
                <w14:textFill>
                  <w14:solidFill>
                    <w14:schemeClr w14:val="tx1"/>
                  </w14:solidFill>
                </w14:textFill>
              </w:rPr>
            </w:pPr>
            <w:r>
              <w:rPr>
                <w:rFonts w:hint="eastAsia" w:cs="宋体" w:asciiTheme="minorEastAsia" w:hAnsiTheme="minorEastAsia" w:eastAsiaTheme="minorEastAsia"/>
                <w:b/>
                <w:color w:val="000000" w:themeColor="text1"/>
                <w:spacing w:val="0"/>
                <w:sz w:val="18"/>
                <w:szCs w:val="18"/>
                <w14:textFill>
                  <w14:solidFill>
                    <w14:schemeClr w14:val="tx1"/>
                  </w14:solidFill>
                </w14:textFill>
              </w:rPr>
              <w:t>投资收益与风险大小不同</w:t>
            </w:r>
          </w:p>
        </w:tc>
        <w:tc>
          <w:tcPr>
            <w:tcW w:w="1472" w:type="pct"/>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投资于众多有价证券，能有效分散风险，风险相对适中，收益相对稳健</w:t>
            </w:r>
          </w:p>
        </w:tc>
        <w:tc>
          <w:tcPr>
            <w:tcW w:w="843" w:type="pct"/>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价格波动性大，高风险、高收益</w:t>
            </w:r>
          </w:p>
        </w:tc>
        <w:tc>
          <w:tcPr>
            <w:tcW w:w="1027" w:type="pct"/>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价格波动较股票小，低风险、低收益</w:t>
            </w:r>
          </w:p>
        </w:tc>
        <w:tc>
          <w:tcPr>
            <w:tcW w:w="1061" w:type="pct"/>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银行存款利率相对固定，损失本金的可能性很小，投资比较安全</w:t>
            </w:r>
          </w:p>
        </w:tc>
      </w:tr>
      <w:tr>
        <w:tblPrEx>
          <w:tblCellMar>
            <w:top w:w="0" w:type="dxa"/>
            <w:left w:w="108" w:type="dxa"/>
            <w:bottom w:w="0" w:type="dxa"/>
            <w:right w:w="108" w:type="dxa"/>
          </w:tblCellMar>
        </w:tblPrEx>
        <w:trPr>
          <w:trHeight w:val="20" w:hRule="atLeast"/>
        </w:trPr>
        <w:tc>
          <w:tcPr>
            <w:tcW w:w="596"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color w:val="000000" w:themeColor="text1"/>
                <w:spacing w:val="0"/>
                <w:sz w:val="18"/>
                <w:szCs w:val="18"/>
                <w14:textFill>
                  <w14:solidFill>
                    <w14:schemeClr w14:val="tx1"/>
                  </w14:solidFill>
                </w14:textFill>
              </w:rPr>
            </w:pPr>
            <w:r>
              <w:rPr>
                <w:rFonts w:hint="eastAsia" w:cs="宋体" w:asciiTheme="minorEastAsia" w:hAnsiTheme="minorEastAsia" w:eastAsiaTheme="minorEastAsia"/>
                <w:b/>
                <w:color w:val="000000" w:themeColor="text1"/>
                <w:spacing w:val="0"/>
                <w:sz w:val="18"/>
                <w:szCs w:val="18"/>
                <w14:textFill>
                  <w14:solidFill>
                    <w14:schemeClr w14:val="tx1"/>
                  </w14:solidFill>
                </w14:textFill>
              </w:rPr>
              <w:t>收益来源</w:t>
            </w:r>
          </w:p>
        </w:tc>
        <w:tc>
          <w:tcPr>
            <w:tcW w:w="1472" w:type="pct"/>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利息收入、股利收入、资本利得</w:t>
            </w:r>
          </w:p>
        </w:tc>
        <w:tc>
          <w:tcPr>
            <w:tcW w:w="843" w:type="pct"/>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股利收入、资本利得</w:t>
            </w:r>
          </w:p>
        </w:tc>
        <w:tc>
          <w:tcPr>
            <w:tcW w:w="1027" w:type="pct"/>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利息收入、资本利得</w:t>
            </w:r>
          </w:p>
        </w:tc>
        <w:tc>
          <w:tcPr>
            <w:tcW w:w="1061" w:type="pct"/>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利息收入</w:t>
            </w:r>
          </w:p>
        </w:tc>
      </w:tr>
      <w:tr>
        <w:tblPrEx>
          <w:tblCellMar>
            <w:top w:w="0" w:type="dxa"/>
            <w:left w:w="108" w:type="dxa"/>
            <w:bottom w:w="0" w:type="dxa"/>
            <w:right w:w="108" w:type="dxa"/>
          </w:tblCellMar>
        </w:tblPrEx>
        <w:trPr>
          <w:trHeight w:val="20" w:hRule="atLeast"/>
        </w:trPr>
        <w:tc>
          <w:tcPr>
            <w:tcW w:w="596"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color w:val="000000" w:themeColor="text1"/>
                <w:spacing w:val="0"/>
                <w:sz w:val="18"/>
                <w:szCs w:val="18"/>
                <w14:textFill>
                  <w14:solidFill>
                    <w14:schemeClr w14:val="tx1"/>
                  </w14:solidFill>
                </w14:textFill>
              </w:rPr>
            </w:pPr>
            <w:r>
              <w:rPr>
                <w:rFonts w:hint="eastAsia" w:cs="宋体" w:asciiTheme="minorEastAsia" w:hAnsiTheme="minorEastAsia" w:eastAsiaTheme="minorEastAsia"/>
                <w:b/>
                <w:color w:val="000000" w:themeColor="text1"/>
                <w:spacing w:val="0"/>
                <w:sz w:val="18"/>
                <w:szCs w:val="18"/>
                <w14:textFill>
                  <w14:solidFill>
                    <w14:schemeClr w14:val="tx1"/>
                  </w14:solidFill>
                </w14:textFill>
              </w:rPr>
              <w:t>投资渠道</w:t>
            </w:r>
          </w:p>
        </w:tc>
        <w:tc>
          <w:tcPr>
            <w:tcW w:w="1472" w:type="pct"/>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基金管理公司及银行、证券公司等代销机构</w:t>
            </w:r>
          </w:p>
        </w:tc>
        <w:tc>
          <w:tcPr>
            <w:tcW w:w="843" w:type="pct"/>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证券公司</w:t>
            </w:r>
          </w:p>
        </w:tc>
        <w:tc>
          <w:tcPr>
            <w:tcW w:w="1027" w:type="pct"/>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债券发行机构、证券公司及银行等代销机构</w:t>
            </w:r>
          </w:p>
        </w:tc>
        <w:tc>
          <w:tcPr>
            <w:tcW w:w="1061" w:type="pct"/>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银行、信用社、邮政储蓄银行</w:t>
            </w:r>
          </w:p>
        </w:tc>
      </w:tr>
    </w:tbl>
    <w:p>
      <w:pPr>
        <w:spacing w:line="360" w:lineRule="exact"/>
        <w:ind w:firstLine="360" w:firstLineChars="200"/>
        <w:rPr>
          <w:rFonts w:cs="宋体" w:asciiTheme="minorEastAsia" w:hAnsiTheme="minorEastAsia" w:eastAsiaTheme="minorEastAsia"/>
          <w:bCs/>
          <w:color w:val="000000" w:themeColor="text1"/>
          <w:spacing w:val="0"/>
          <w:sz w:val="18"/>
          <w:szCs w:val="18"/>
          <w14:textFill>
            <w14:solidFill>
              <w14:schemeClr w14:val="tx1"/>
            </w14:solidFill>
          </w14:textFill>
        </w:rPr>
      </w:pPr>
      <w:r>
        <w:rPr>
          <w:rFonts w:hint="eastAsia" w:cs="宋体" w:asciiTheme="minorEastAsia" w:hAnsiTheme="minorEastAsia" w:eastAsiaTheme="minorEastAsia"/>
          <w:bCs/>
          <w:color w:val="000000" w:themeColor="text1"/>
          <w:spacing w:val="0"/>
          <w:sz w:val="18"/>
          <w:szCs w:val="18"/>
          <w14:textFill>
            <w14:solidFill>
              <w14:schemeClr w14:val="tx1"/>
            </w14:solidFill>
          </w14:textFill>
        </w:rPr>
        <w:t>（四）基金的分类</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cs="宋体" w:asciiTheme="minorEastAsia" w:hAnsiTheme="minorEastAsia" w:eastAsiaTheme="minorEastAsia"/>
          <w:color w:val="000000" w:themeColor="text1"/>
          <w:spacing w:val="0"/>
          <w:sz w:val="18"/>
          <w:szCs w:val="18"/>
          <w14:textFill>
            <w14:solidFill>
              <w14:schemeClr w14:val="tx1"/>
            </w14:solidFill>
          </w14:textFill>
        </w:rPr>
        <w:t>1、依据运作方式的不同，可分为封闭式基金与开放式基金。</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封闭式基金是指基金份额在基金合同期限内固定不变，基金份额可以在依法设立的证券交易所交易，但基金份额持有人不得申请赎回的一种基金运作方式。</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开放式基金是指基金份额不固定，基金份额可以在基金合同约定的时间和场所进行申购和赎回的一种基金运作方式。</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cs="宋体" w:asciiTheme="minorEastAsia" w:hAnsiTheme="minorEastAsia" w:eastAsiaTheme="minorEastAsia"/>
          <w:color w:val="000000" w:themeColor="text1"/>
          <w:spacing w:val="0"/>
          <w:sz w:val="18"/>
          <w:szCs w:val="18"/>
          <w14:textFill>
            <w14:solidFill>
              <w14:schemeClr w14:val="tx1"/>
            </w14:solidFill>
          </w14:textFill>
        </w:rPr>
        <w:t>2、依据投资对象的不同，可分为股票基金、债券基金、货币市场基金、</w:t>
      </w:r>
      <w:r>
        <w:rPr>
          <w:rFonts w:hint="eastAsia" w:cs="宋体" w:asciiTheme="minorEastAsia" w:hAnsiTheme="minorEastAsia" w:eastAsiaTheme="minorEastAsia"/>
          <w:color w:val="000000" w:themeColor="text1"/>
          <w:spacing w:val="0"/>
          <w:sz w:val="18"/>
          <w:szCs w:val="18"/>
          <w14:textFill>
            <w14:solidFill>
              <w14:schemeClr w14:val="tx1"/>
            </w14:solidFill>
          </w14:textFill>
        </w:rPr>
        <w:t>基金中基金、</w:t>
      </w:r>
      <w:r>
        <w:rPr>
          <w:rFonts w:cs="宋体" w:asciiTheme="minorEastAsia" w:hAnsiTheme="minorEastAsia" w:eastAsiaTheme="minorEastAsia"/>
          <w:color w:val="000000" w:themeColor="text1"/>
          <w:spacing w:val="0"/>
          <w:sz w:val="18"/>
          <w:szCs w:val="18"/>
          <w14:textFill>
            <w14:solidFill>
              <w14:schemeClr w14:val="tx1"/>
            </w14:solidFill>
          </w14:textFill>
        </w:rPr>
        <w:t>混合基金</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根据《证券投资基金运作管理办法》对基金类别的分类标准</w:t>
      </w:r>
      <w:r>
        <w:rPr>
          <w:rFonts w:cs="宋体" w:asciiTheme="minorEastAsia" w:hAnsiTheme="minorEastAsia" w:eastAsiaTheme="minorEastAsia"/>
          <w:color w:val="000000" w:themeColor="text1"/>
          <w:spacing w:val="0"/>
          <w:sz w:val="18"/>
          <w:szCs w:val="18"/>
          <w14:textFill>
            <w14:solidFill>
              <w14:schemeClr w14:val="tx1"/>
            </w14:solidFill>
          </w14:textFill>
        </w:rPr>
        <w:t>,80%以上的基金资产投资于股票的为股票基金；80%以上的基金资产投资于债券的为债券基金；仅投资于货币市场工具的为货币市场基金；80%以上的基金资产投资于</w:t>
      </w:r>
      <w:r>
        <w:rPr>
          <w:rFonts w:hint="eastAsia" w:cs="宋体" w:asciiTheme="minorEastAsia" w:hAnsiTheme="minorEastAsia" w:eastAsiaTheme="minorEastAsia"/>
          <w:color w:val="000000" w:themeColor="text1"/>
          <w:spacing w:val="0"/>
          <w:sz w:val="18"/>
          <w:szCs w:val="18"/>
          <w14:textFill>
            <w14:solidFill>
              <w14:schemeClr w14:val="tx1"/>
            </w14:solidFill>
          </w14:textFill>
        </w:rPr>
        <w:t>其它基金份额的</w:t>
      </w:r>
      <w:r>
        <w:rPr>
          <w:rFonts w:cs="宋体" w:asciiTheme="minorEastAsia" w:hAnsiTheme="minorEastAsia" w:eastAsiaTheme="minorEastAsia"/>
          <w:color w:val="000000" w:themeColor="text1"/>
          <w:spacing w:val="0"/>
          <w:sz w:val="18"/>
          <w:szCs w:val="18"/>
          <w14:textFill>
            <w14:solidFill>
              <w14:schemeClr w14:val="tx1"/>
            </w14:solidFill>
          </w14:textFill>
        </w:rPr>
        <w:t>，为基金</w:t>
      </w:r>
      <w:r>
        <w:rPr>
          <w:rFonts w:hint="eastAsia" w:cs="宋体" w:asciiTheme="minorEastAsia" w:hAnsiTheme="minorEastAsia" w:eastAsiaTheme="minorEastAsia"/>
          <w:color w:val="000000" w:themeColor="text1"/>
          <w:spacing w:val="0"/>
          <w:sz w:val="18"/>
          <w:szCs w:val="18"/>
          <w14:textFill>
            <w14:solidFill>
              <w14:schemeClr w14:val="tx1"/>
            </w14:solidFill>
          </w14:textFill>
        </w:rPr>
        <w:t>中基金；</w:t>
      </w:r>
      <w:r>
        <w:rPr>
          <w:rFonts w:cs="宋体" w:asciiTheme="minorEastAsia" w:hAnsiTheme="minorEastAsia" w:eastAsiaTheme="minorEastAsia"/>
          <w:color w:val="000000" w:themeColor="text1"/>
          <w:spacing w:val="0"/>
          <w:sz w:val="18"/>
          <w:szCs w:val="18"/>
          <w14:textFill>
            <w14:solidFill>
              <w14:schemeClr w14:val="tx1"/>
            </w14:solidFill>
          </w14:textFill>
        </w:rPr>
        <w:t>投资于股票、债券和货币市场工具，但股票投资和债券投资的比例不符合股票基金、债券基金</w:t>
      </w:r>
      <w:r>
        <w:rPr>
          <w:rFonts w:hint="eastAsia" w:cs="宋体" w:asciiTheme="minorEastAsia" w:hAnsiTheme="minorEastAsia" w:eastAsiaTheme="minorEastAsia"/>
          <w:color w:val="000000" w:themeColor="text1"/>
          <w:spacing w:val="0"/>
          <w:sz w:val="18"/>
          <w:szCs w:val="18"/>
          <w14:textFill>
            <w14:solidFill>
              <w14:schemeClr w14:val="tx1"/>
            </w14:solidFill>
          </w14:textFill>
        </w:rPr>
        <w:t>、</w:t>
      </w:r>
      <w:r>
        <w:rPr>
          <w:rFonts w:cs="宋体" w:asciiTheme="minorEastAsia" w:hAnsiTheme="minorEastAsia" w:eastAsiaTheme="minorEastAsia"/>
          <w:color w:val="000000" w:themeColor="text1"/>
          <w:spacing w:val="0"/>
          <w:sz w:val="18"/>
          <w:szCs w:val="18"/>
          <w14:textFill>
            <w14:solidFill>
              <w14:schemeClr w14:val="tx1"/>
            </w14:solidFill>
          </w14:textFill>
        </w:rPr>
        <w:t>基金</w:t>
      </w:r>
      <w:r>
        <w:rPr>
          <w:rFonts w:hint="eastAsia" w:cs="宋体" w:asciiTheme="minorEastAsia" w:hAnsiTheme="minorEastAsia" w:eastAsiaTheme="minorEastAsia"/>
          <w:color w:val="000000" w:themeColor="text1"/>
          <w:spacing w:val="0"/>
          <w:sz w:val="18"/>
          <w:szCs w:val="18"/>
          <w14:textFill>
            <w14:solidFill>
              <w14:schemeClr w14:val="tx1"/>
            </w14:solidFill>
          </w14:textFill>
        </w:rPr>
        <w:t>中基金</w:t>
      </w:r>
      <w:r>
        <w:rPr>
          <w:rFonts w:cs="宋体" w:asciiTheme="minorEastAsia" w:hAnsiTheme="minorEastAsia" w:eastAsiaTheme="minorEastAsia"/>
          <w:color w:val="000000" w:themeColor="text1"/>
          <w:spacing w:val="0"/>
          <w:sz w:val="18"/>
          <w:szCs w:val="18"/>
          <w14:textFill>
            <w14:solidFill>
              <w14:schemeClr w14:val="tx1"/>
            </w14:solidFill>
          </w14:textFill>
        </w:rPr>
        <w:t>规定的为混合基金。</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cs="宋体" w:asciiTheme="minorEastAsia" w:hAnsiTheme="minorEastAsia" w:eastAsiaTheme="minorEastAsia"/>
          <w:color w:val="000000" w:themeColor="text1"/>
          <w:spacing w:val="0"/>
          <w:sz w:val="18"/>
          <w:szCs w:val="18"/>
          <w14:textFill>
            <w14:solidFill>
              <w14:schemeClr w14:val="tx1"/>
            </w14:solidFill>
          </w14:textFill>
        </w:rPr>
        <w:t>这些基金类别</w:t>
      </w:r>
      <w:r>
        <w:rPr>
          <w:rFonts w:hint="eastAsia" w:cs="宋体" w:asciiTheme="minorEastAsia" w:hAnsiTheme="minorEastAsia" w:eastAsiaTheme="minorEastAsia"/>
          <w:color w:val="000000" w:themeColor="text1"/>
          <w:spacing w:val="0"/>
          <w:sz w:val="18"/>
          <w:szCs w:val="18"/>
          <w14:textFill>
            <w14:solidFill>
              <w14:schemeClr w14:val="tx1"/>
            </w14:solidFill>
          </w14:textFill>
        </w:rPr>
        <w:t>按收益和风险由高到低的排列顺序为：股票基金、混合基金、债券基金、货币市场基金，即股票基金的风险和收益最高，货币市场基金的风险和收益最低。基金中基金的收益和风险取决于其具体投资的基金类型。</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cs="宋体" w:asciiTheme="minorEastAsia" w:hAnsiTheme="minorEastAsia" w:eastAsiaTheme="minorEastAsia"/>
          <w:color w:val="000000" w:themeColor="text1"/>
          <w:spacing w:val="0"/>
          <w:sz w:val="18"/>
          <w:szCs w:val="18"/>
          <w14:textFill>
            <w14:solidFill>
              <w14:schemeClr w14:val="tx1"/>
            </w14:solidFill>
          </w14:textFill>
        </w:rPr>
        <w:t>3、特殊类型基金</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w:t>
      </w:r>
      <w:r>
        <w:rPr>
          <w:rFonts w:cs="宋体" w:asciiTheme="minorEastAsia" w:hAnsiTheme="minorEastAsia" w:eastAsiaTheme="minorEastAsia"/>
          <w:color w:val="000000" w:themeColor="text1"/>
          <w:spacing w:val="0"/>
          <w:sz w:val="18"/>
          <w:szCs w:val="18"/>
          <w14:textFill>
            <w14:solidFill>
              <w14:schemeClr w14:val="tx1"/>
            </w14:solidFill>
          </w14:textFill>
        </w:rPr>
        <w:t>1）系列基金。又被称为伞型基金，是指多个基金共用一个基金合同,</w:t>
      </w:r>
      <w:r>
        <w:rPr>
          <w:rFonts w:hint="eastAsia" w:cs="宋体" w:asciiTheme="minorEastAsia" w:hAnsiTheme="minorEastAsia" w:eastAsiaTheme="minorEastAsia"/>
          <w:color w:val="000000" w:themeColor="text1"/>
          <w:spacing w:val="0"/>
          <w:sz w:val="18"/>
          <w:szCs w:val="18"/>
          <w14:textFill>
            <w14:solidFill>
              <w14:schemeClr w14:val="tx1"/>
            </w14:solidFill>
          </w14:textFill>
        </w:rPr>
        <w:t>子基金独立运作</w:t>
      </w:r>
      <w:r>
        <w:rPr>
          <w:rFonts w:cs="宋体" w:asciiTheme="minorEastAsia" w:hAnsiTheme="minorEastAsia" w:eastAsiaTheme="minorEastAsia"/>
          <w:color w:val="000000" w:themeColor="text1"/>
          <w:spacing w:val="0"/>
          <w:sz w:val="18"/>
          <w:szCs w:val="18"/>
          <w14:textFill>
            <w14:solidFill>
              <w14:schemeClr w14:val="tx1"/>
            </w14:solidFill>
          </w14:textFill>
        </w:rPr>
        <w:t>,</w:t>
      </w:r>
      <w:r>
        <w:rPr>
          <w:rFonts w:hint="eastAsia" w:cs="宋体" w:asciiTheme="minorEastAsia" w:hAnsiTheme="minorEastAsia" w:eastAsiaTheme="minorEastAsia"/>
          <w:color w:val="000000" w:themeColor="text1"/>
          <w:spacing w:val="0"/>
          <w:sz w:val="18"/>
          <w:szCs w:val="18"/>
          <w14:textFill>
            <w14:solidFill>
              <w14:schemeClr w14:val="tx1"/>
            </w14:solidFill>
          </w14:textFill>
        </w:rPr>
        <w:t>子基金之间可以进行相互转换的一种基金结构形式。</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w:t>
      </w:r>
      <w:r>
        <w:rPr>
          <w:rFonts w:cs="宋体" w:asciiTheme="minorEastAsia" w:hAnsiTheme="minorEastAsia" w:eastAsiaTheme="minorEastAsia"/>
          <w:color w:val="000000" w:themeColor="text1"/>
          <w:spacing w:val="0"/>
          <w:sz w:val="18"/>
          <w:szCs w:val="18"/>
          <w14:textFill>
            <w14:solidFill>
              <w14:schemeClr w14:val="tx1"/>
            </w14:solidFill>
          </w14:textFill>
        </w:rPr>
        <w:t>2）</w:t>
      </w:r>
      <w:r>
        <w:rPr>
          <w:rFonts w:hint="eastAsia" w:cs="宋体" w:asciiTheme="minorEastAsia" w:hAnsiTheme="minorEastAsia" w:eastAsiaTheme="minorEastAsia"/>
          <w:color w:val="000000" w:themeColor="text1"/>
          <w:spacing w:val="0"/>
          <w:sz w:val="18"/>
          <w:szCs w:val="18"/>
          <w14:textFill>
            <w14:solidFill>
              <w14:schemeClr w14:val="tx1"/>
            </w14:solidFill>
          </w14:textFill>
        </w:rPr>
        <w:t>避险策略</w:t>
      </w:r>
      <w:r>
        <w:rPr>
          <w:rFonts w:cs="宋体" w:asciiTheme="minorEastAsia" w:hAnsiTheme="minorEastAsia" w:eastAsiaTheme="minorEastAsia"/>
          <w:color w:val="000000" w:themeColor="text1"/>
          <w:spacing w:val="0"/>
          <w:sz w:val="18"/>
          <w:szCs w:val="18"/>
          <w14:textFill>
            <w14:solidFill>
              <w14:schemeClr w14:val="tx1"/>
            </w14:solidFill>
          </w14:textFill>
        </w:rPr>
        <w:t>基金。</w:t>
      </w:r>
      <w:r>
        <w:rPr>
          <w:rFonts w:hint="eastAsia" w:cs="宋体" w:asciiTheme="minorEastAsia" w:hAnsiTheme="minorEastAsia" w:eastAsiaTheme="minorEastAsia"/>
          <w:color w:val="000000" w:themeColor="text1"/>
          <w:spacing w:val="0"/>
          <w:sz w:val="18"/>
          <w:szCs w:val="18"/>
          <w14:textFill>
            <w14:solidFill>
              <w14:schemeClr w14:val="tx1"/>
            </w14:solidFill>
          </w14:textFill>
        </w:rPr>
        <w:t>原名保本基金，是指通过一定的避险投资策略进行运作，同时引入相关保障机制，以在避险策略周期到期时，力求避免基金份额持有人投资本金出现亏损的公开募集证券投资基金。</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w:t>
      </w:r>
      <w:r>
        <w:rPr>
          <w:rFonts w:cs="宋体" w:asciiTheme="minorEastAsia" w:hAnsiTheme="minorEastAsia" w:eastAsiaTheme="minorEastAsia"/>
          <w:color w:val="000000" w:themeColor="text1"/>
          <w:spacing w:val="0"/>
          <w:sz w:val="18"/>
          <w:szCs w:val="18"/>
          <w14:textFill>
            <w14:solidFill>
              <w14:schemeClr w14:val="tx1"/>
            </w14:solidFill>
          </w14:textFill>
        </w:rPr>
        <w:t>3）交易型开放式指数基金(ETF)与ETF</w:t>
      </w:r>
      <w:r>
        <w:rPr>
          <w:rFonts w:hint="eastAsia" w:cs="宋体" w:asciiTheme="minorEastAsia" w:hAnsiTheme="minorEastAsia" w:eastAsiaTheme="minorEastAsia"/>
          <w:color w:val="000000" w:themeColor="text1"/>
          <w:spacing w:val="0"/>
          <w:sz w:val="18"/>
          <w:szCs w:val="18"/>
          <w14:textFill>
            <w14:solidFill>
              <w14:schemeClr w14:val="tx1"/>
            </w14:solidFill>
          </w14:textFill>
        </w:rPr>
        <w:t>联接基金</w:t>
      </w:r>
      <w:r>
        <w:rPr>
          <w:rFonts w:cs="宋体" w:asciiTheme="minorEastAsia" w:hAnsiTheme="minorEastAsia" w:eastAsiaTheme="minorEastAsia"/>
          <w:color w:val="000000" w:themeColor="text1"/>
          <w:spacing w:val="0"/>
          <w:sz w:val="18"/>
          <w:szCs w:val="18"/>
          <w14:textFill>
            <w14:solidFill>
              <w14:schemeClr w14:val="tx1"/>
            </w14:solidFill>
          </w14:textFill>
        </w:rPr>
        <w:t>。交易型开放式指数基金,通常又被称为交易所交易基金(Exchange Traded Funds,简称“ETF”),是一种在交易所上市交易的、基金份额可变的一种开放式基金。</w:t>
      </w:r>
      <w:r>
        <w:rPr>
          <w:rFonts w:hint="eastAsia" w:asciiTheme="minorEastAsia" w:hAnsiTheme="minorEastAsia" w:eastAsiaTheme="minorEastAsia"/>
          <w:color w:val="000000" w:themeColor="text1"/>
          <w:spacing w:val="0"/>
          <w:sz w:val="18"/>
          <w:szCs w:val="18"/>
          <w:shd w:val="clear" w:color="auto" w:fill="F9F9F9"/>
          <w14:textFill>
            <w14:solidFill>
              <w14:schemeClr w14:val="tx1"/>
            </w14:solidFill>
          </w14:textFill>
        </w:rPr>
        <w:t>它结合了开放式基金和封闭式基金的运作特点，其份额可以在二级市场买卖，也可以申购、赎回。但是，由于它的申购是用一篮子成份券换取基金份额，赎回也是换回一篮子成份券而非现金。为方便未参与二级市场交易的投资者，就诞生了“</w:t>
      </w:r>
      <w:r>
        <w:rPr>
          <w:rFonts w:asciiTheme="minorEastAsia" w:hAnsiTheme="minorEastAsia" w:eastAsiaTheme="minorEastAsia"/>
          <w:color w:val="000000" w:themeColor="text1"/>
          <w:spacing w:val="0"/>
          <w:sz w:val="18"/>
          <w:szCs w:val="18"/>
          <w:shd w:val="clear" w:color="auto" w:fill="F9F9F9"/>
          <w14:textFill>
            <w14:solidFill>
              <w14:schemeClr w14:val="tx1"/>
            </w14:solidFill>
          </w14:textFill>
        </w:rPr>
        <w:t>ETF</w:t>
      </w:r>
      <w:r>
        <w:rPr>
          <w:rFonts w:hint="eastAsia" w:asciiTheme="minorEastAsia" w:hAnsiTheme="minorEastAsia" w:eastAsiaTheme="minorEastAsia"/>
          <w:color w:val="000000" w:themeColor="text1"/>
          <w:spacing w:val="0"/>
          <w:sz w:val="18"/>
          <w:szCs w:val="18"/>
          <w:shd w:val="clear" w:color="auto" w:fill="F9F9F9"/>
          <w14:textFill>
            <w14:solidFill>
              <w14:schemeClr w14:val="tx1"/>
            </w14:solidFill>
          </w14:textFill>
        </w:rPr>
        <w:t>联接基金”，这种基金将</w:t>
      </w:r>
      <w:r>
        <w:rPr>
          <w:rFonts w:asciiTheme="minorEastAsia" w:hAnsiTheme="minorEastAsia" w:eastAsiaTheme="minorEastAsia"/>
          <w:color w:val="000000" w:themeColor="text1"/>
          <w:spacing w:val="0"/>
          <w:sz w:val="18"/>
          <w:szCs w:val="18"/>
          <w:shd w:val="clear" w:color="auto" w:fill="F9F9F9"/>
          <w14:textFill>
            <w14:solidFill>
              <w14:schemeClr w14:val="tx1"/>
            </w14:solidFill>
          </w14:textFill>
        </w:rPr>
        <w:t>90%</w:t>
      </w:r>
      <w:r>
        <w:rPr>
          <w:rFonts w:hint="eastAsia" w:asciiTheme="minorEastAsia" w:hAnsiTheme="minorEastAsia" w:eastAsiaTheme="minorEastAsia"/>
          <w:color w:val="000000" w:themeColor="text1"/>
          <w:spacing w:val="0"/>
          <w:sz w:val="18"/>
          <w:szCs w:val="18"/>
          <w:shd w:val="clear" w:color="auto" w:fill="F9F9F9"/>
          <w14:textFill>
            <w14:solidFill>
              <w14:schemeClr w14:val="tx1"/>
            </w14:solidFill>
          </w14:textFill>
        </w:rPr>
        <w:t>以上的资产投资于目标</w:t>
      </w:r>
      <w:r>
        <w:rPr>
          <w:rFonts w:asciiTheme="minorEastAsia" w:hAnsiTheme="minorEastAsia" w:eastAsiaTheme="minorEastAsia"/>
          <w:color w:val="000000" w:themeColor="text1"/>
          <w:spacing w:val="0"/>
          <w:sz w:val="18"/>
          <w:szCs w:val="18"/>
          <w:shd w:val="clear" w:color="auto" w:fill="F9F9F9"/>
          <w14:textFill>
            <w14:solidFill>
              <w14:schemeClr w14:val="tx1"/>
            </w14:solidFill>
          </w14:textFill>
        </w:rPr>
        <w:t>ETF</w:t>
      </w:r>
      <w:r>
        <w:rPr>
          <w:rFonts w:hint="eastAsia" w:asciiTheme="minorEastAsia" w:hAnsiTheme="minorEastAsia" w:eastAsiaTheme="minorEastAsia"/>
          <w:color w:val="000000" w:themeColor="text1"/>
          <w:spacing w:val="0"/>
          <w:sz w:val="18"/>
          <w:szCs w:val="18"/>
          <w:shd w:val="clear" w:color="auto" w:fill="F9F9F9"/>
          <w14:textFill>
            <w14:solidFill>
              <w14:schemeClr w14:val="tx1"/>
            </w14:solidFill>
          </w14:textFill>
        </w:rPr>
        <w:t>，采用开放式运作方式并在场外申购或赎回。</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cs="宋体" w:asciiTheme="minorEastAsia" w:hAnsiTheme="minorEastAsia" w:eastAsiaTheme="minorEastAsia"/>
          <w:color w:val="000000" w:themeColor="text1"/>
          <w:spacing w:val="0"/>
          <w:sz w:val="18"/>
          <w:szCs w:val="18"/>
          <w14:textFill>
            <w14:solidFill>
              <w14:schemeClr w14:val="tx1"/>
            </w14:solidFill>
          </w14:textFill>
        </w:rPr>
        <w:t>（4）上市开放式基金(Listed Open-ended Funds,简称“LOF”)是一种既可以在场外市场进行基金份额申购赎回，又可以在交易所（场内市场）进行基金份额交易、申购或赎回的开放式基金。</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cs="宋体" w:asciiTheme="minorEastAsia" w:hAnsiTheme="minorEastAsia" w:eastAsiaTheme="minorEastAsia"/>
          <w:color w:val="000000" w:themeColor="text1"/>
          <w:spacing w:val="0"/>
          <w:sz w:val="18"/>
          <w:szCs w:val="18"/>
          <w14:textFill>
            <w14:solidFill>
              <w14:schemeClr w14:val="tx1"/>
            </w14:solidFill>
          </w14:textFill>
        </w:rPr>
        <w:t>（5）QDII基金。QDII是Qualified Domestic Institutional Investors的首字母缩写。它是指在一国境内设立，经该国有关部门批准从事境外证券市场的股票、债券等有价证券投资的基金。它为国内投资者参与国际市场投资提供了便利。</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bCs/>
          <w:color w:val="000000" w:themeColor="text1"/>
          <w:spacing w:val="0"/>
          <w:sz w:val="18"/>
          <w:szCs w:val="18"/>
          <w14:textFill>
            <w14:solidFill>
              <w14:schemeClr w14:val="tx1"/>
            </w14:solidFill>
          </w14:textFill>
        </w:rPr>
        <w:t>（五）基金评级</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基金评级是依据一定标准对基金产品进行分析从而做出优劣评价。投资人在投资基金时，可以适当参考基金评级结果，但切不可把基金评级作为选择基金的唯一依据。此外，基金评级是对基金管理人过往的业绩表现做出评价，并不代表基金未来长期业绩的表现。</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本公司将根据投资者适当性原则，对基金管理人进行审慎调查，并对基金产品进行风险评价。</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bCs/>
          <w:color w:val="000000" w:themeColor="text1"/>
          <w:spacing w:val="0"/>
          <w:sz w:val="18"/>
          <w:szCs w:val="18"/>
          <w14:textFill>
            <w14:solidFill>
              <w14:schemeClr w14:val="tx1"/>
            </w14:solidFill>
          </w14:textFill>
        </w:rPr>
        <w:t>（六）基金费用</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基金费用一般包括两大类：</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一类是在基金销售过程中发生的由基金投资人自己承担的费用，主要包括认购费、申购费、赎回费和基金转换费。这些费用一般直接在投资人认购、申购、赎回或转换时收取。其中申购费可在投资人购买基金时收取，即前端申购费；也可在投资人卖出基金时收取，即后端申购费，其费率一般按持有期限递减。</w:t>
      </w:r>
    </w:p>
    <w:p>
      <w:pPr>
        <w:spacing w:line="360" w:lineRule="exact"/>
        <w:ind w:firstLine="360" w:firstLineChars="200"/>
        <w:rPr>
          <w:rFonts w:cs="Arial"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另一类是在基金管理过程中发生的费用，主要包括基金管理费、基金托管费、信息披露费等，这些费用由基金承担。对于不收取申购、赎回费的货币市场基金和部分债券基金，还可按相关规定</w:t>
      </w:r>
      <w:r>
        <w:rPr>
          <w:rFonts w:cs="宋体" w:asciiTheme="minorEastAsia" w:hAnsiTheme="minorEastAsia" w:eastAsiaTheme="minorEastAsia"/>
          <w:color w:val="000000" w:themeColor="text1"/>
          <w:spacing w:val="0"/>
          <w:sz w:val="18"/>
          <w:szCs w:val="18"/>
          <w14:textFill>
            <w14:solidFill>
              <w14:schemeClr w14:val="tx1"/>
            </w14:solidFill>
          </w14:textFill>
        </w:rPr>
        <w:t>从基金资产中计提一定的销售服务费</w:t>
      </w:r>
      <w:r>
        <w:rPr>
          <w:rFonts w:hint="eastAsia" w:cs="Arial" w:asciiTheme="minorEastAsia" w:hAnsiTheme="minorEastAsia" w:eastAsiaTheme="minorEastAsia"/>
          <w:color w:val="000000" w:themeColor="text1"/>
          <w:spacing w:val="0"/>
          <w:sz w:val="18"/>
          <w:szCs w:val="18"/>
          <w14:textFill>
            <w14:solidFill>
              <w14:schemeClr w14:val="tx1"/>
            </w14:solidFill>
          </w14:textFill>
        </w:rPr>
        <w:t>，专门用于本基金的销售和对基金持有人的服务。</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asciiTheme="minorEastAsia" w:hAnsiTheme="minorEastAsia" w:eastAsiaTheme="minorEastAsia"/>
          <w:color w:val="000000" w:themeColor="text1"/>
          <w:spacing w:val="0"/>
          <w:sz w:val="18"/>
          <w:szCs w:val="18"/>
          <w:lang w:val="zh-CN"/>
          <w14:textFill>
            <w14:solidFill>
              <w14:schemeClr w14:val="tx1"/>
            </w14:solidFill>
          </w14:textFill>
        </w:rPr>
        <w:t>资产管理计划的费用应按《计划合同》约定收取。</w:t>
      </w:r>
    </w:p>
    <w:p>
      <w:pPr>
        <w:spacing w:line="360" w:lineRule="exact"/>
        <w:ind w:firstLine="360" w:firstLineChars="200"/>
        <w:rPr>
          <w:rFonts w:cs="宋体" w:asciiTheme="minorEastAsia" w:hAnsiTheme="minorEastAsia" w:eastAsiaTheme="minorEastAsia"/>
          <w:b/>
          <w:bCs/>
          <w:color w:val="000000" w:themeColor="text1"/>
          <w:spacing w:val="0"/>
          <w:sz w:val="18"/>
          <w:szCs w:val="18"/>
          <w14:textFill>
            <w14:solidFill>
              <w14:schemeClr w14:val="tx1"/>
            </w14:solidFill>
          </w14:textFill>
        </w:rPr>
      </w:pPr>
      <w:r>
        <w:rPr>
          <w:rFonts w:hint="eastAsia" w:cs="宋体" w:asciiTheme="minorEastAsia" w:hAnsiTheme="minorEastAsia" w:eastAsiaTheme="minorEastAsia"/>
          <w:b/>
          <w:bCs/>
          <w:color w:val="000000" w:themeColor="text1"/>
          <w:spacing w:val="0"/>
          <w:sz w:val="18"/>
          <w:szCs w:val="18"/>
          <w14:textFill>
            <w14:solidFill>
              <w14:schemeClr w14:val="tx1"/>
            </w14:solidFill>
          </w14:textFill>
        </w:rPr>
        <w:t>二、基金份额持有人的权利</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根据《证券投资基金法》</w:t>
      </w:r>
      <w:r>
        <w:rPr>
          <w:rFonts w:cs="宋体" w:asciiTheme="minorEastAsia" w:hAnsiTheme="minorEastAsia" w:eastAsiaTheme="minorEastAsia"/>
          <w:color w:val="000000" w:themeColor="text1"/>
          <w:spacing w:val="0"/>
          <w:sz w:val="18"/>
          <w:szCs w:val="18"/>
          <w14:textFill>
            <w14:solidFill>
              <w14:schemeClr w14:val="tx1"/>
            </w14:solidFill>
          </w14:textFill>
        </w:rPr>
        <w:t>规定，基金份额持有人享有下列权利：</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（一）分享基金财产收益；</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（二）参与分配清算后的剩余基金财产；</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（三）依法转让或者申请赎回其持有的基金份额；</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（四）按照规定要求召开基金份额持有人大会或者召集基金份额持有人大会；</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（五）对基金份额持有人大会审议事项行使表决权；</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（六）对基金管理人、基金托管人、基金服务机构损害其合法权益的行为依法提起诉讼；</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（七）基金合同约定的其它权利。</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asciiTheme="minorEastAsia" w:hAnsiTheme="minorEastAsia" w:eastAsiaTheme="minorEastAsia"/>
          <w:color w:val="000000" w:themeColor="text1"/>
          <w:spacing w:val="0"/>
          <w:sz w:val="18"/>
          <w:szCs w:val="18"/>
          <w:lang w:val="zh-CN"/>
          <w14:textFill>
            <w14:solidFill>
              <w14:schemeClr w14:val="tx1"/>
            </w14:solidFill>
          </w14:textFill>
        </w:rPr>
        <w:t>资产管理计划持有人的权利参照计划合同的约定。</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公开募集基金的基金份额持有人有权查阅或者复制公开披露的基金信息资料；非公开募集基金的基金份额持有人对涉及自身利益的情况，有权查阅基金的财务会计账簿等财务资料。</w:t>
      </w:r>
    </w:p>
    <w:p>
      <w:pPr>
        <w:spacing w:line="360" w:lineRule="exact"/>
        <w:ind w:firstLine="360" w:firstLineChars="200"/>
        <w:rPr>
          <w:rFonts w:cs="宋体" w:asciiTheme="minorEastAsia" w:hAnsiTheme="minorEastAsia" w:eastAsiaTheme="minorEastAsia"/>
          <w:b/>
          <w:bCs/>
          <w:color w:val="000000" w:themeColor="text1"/>
          <w:spacing w:val="0"/>
          <w:sz w:val="18"/>
          <w:szCs w:val="18"/>
          <w14:textFill>
            <w14:solidFill>
              <w14:schemeClr w14:val="tx1"/>
            </w14:solidFill>
          </w14:textFill>
        </w:rPr>
      </w:pPr>
      <w:r>
        <w:rPr>
          <w:rFonts w:hint="eastAsia" w:cs="宋体" w:asciiTheme="minorEastAsia" w:hAnsiTheme="minorEastAsia" w:eastAsiaTheme="minorEastAsia"/>
          <w:b/>
          <w:bCs/>
          <w:color w:val="000000" w:themeColor="text1"/>
          <w:spacing w:val="0"/>
          <w:sz w:val="18"/>
          <w:szCs w:val="18"/>
          <w14:textFill>
            <w14:solidFill>
              <w14:schemeClr w14:val="tx1"/>
            </w14:solidFill>
          </w14:textFill>
        </w:rPr>
        <w:t>三、</w:t>
      </w:r>
      <w:r>
        <w:rPr>
          <w:rFonts w:cs="宋体" w:asciiTheme="minorEastAsia" w:hAnsiTheme="minorEastAsia" w:eastAsiaTheme="minorEastAsia"/>
          <w:b/>
          <w:bCs/>
          <w:color w:val="000000" w:themeColor="text1"/>
          <w:spacing w:val="0"/>
          <w:sz w:val="18"/>
          <w:szCs w:val="18"/>
          <w14:textFill>
            <w14:solidFill>
              <w14:schemeClr w14:val="tx1"/>
            </w14:solidFill>
          </w14:textFill>
        </w:rPr>
        <w:t xml:space="preserve"> </w:t>
      </w:r>
      <w:r>
        <w:rPr>
          <w:rFonts w:hint="eastAsia" w:cs="宋体" w:asciiTheme="minorEastAsia" w:hAnsiTheme="minorEastAsia" w:eastAsiaTheme="minorEastAsia"/>
          <w:b/>
          <w:bCs/>
          <w:color w:val="000000" w:themeColor="text1"/>
          <w:spacing w:val="0"/>
          <w:sz w:val="18"/>
          <w:szCs w:val="18"/>
          <w14:textFill>
            <w14:solidFill>
              <w14:schemeClr w14:val="tx1"/>
            </w14:solidFill>
          </w14:textFill>
        </w:rPr>
        <w:t>投资者分类</w:t>
      </w:r>
    </w:p>
    <w:p>
      <w:pPr>
        <w:spacing w:line="360" w:lineRule="exact"/>
        <w:ind w:firstLine="360" w:firstLineChars="200"/>
        <w:rPr>
          <w:rFonts w:cs="宋体" w:asciiTheme="minorEastAsia" w:hAnsiTheme="minorEastAsia" w:eastAsiaTheme="minorEastAsia"/>
          <w:bCs/>
          <w:color w:val="000000" w:themeColor="text1"/>
          <w:spacing w:val="0"/>
          <w:sz w:val="18"/>
          <w:szCs w:val="18"/>
          <w14:textFill>
            <w14:solidFill>
              <w14:schemeClr w14:val="tx1"/>
            </w14:solidFill>
          </w14:textFill>
        </w:rPr>
      </w:pPr>
      <w:r>
        <w:rPr>
          <w:rFonts w:hint="eastAsia" w:cs="宋体" w:asciiTheme="minorEastAsia" w:hAnsiTheme="minorEastAsia" w:eastAsiaTheme="minorEastAsia"/>
          <w:bCs/>
          <w:color w:val="000000" w:themeColor="text1"/>
          <w:spacing w:val="0"/>
          <w:sz w:val="18"/>
          <w:szCs w:val="18"/>
          <w14:textFill>
            <w14:solidFill>
              <w14:schemeClr w14:val="tx1"/>
            </w14:solidFill>
          </w14:textFill>
        </w:rPr>
        <w:t>投资者分为普通投资者与专业投资者。</w:t>
      </w:r>
      <w:r>
        <w:rPr>
          <w:rFonts w:hint="eastAsia" w:cs="宋体" w:asciiTheme="minorEastAsia" w:hAnsiTheme="minorEastAsia" w:eastAsiaTheme="minorEastAsia"/>
          <w:b/>
          <w:bCs/>
          <w:color w:val="000000" w:themeColor="text1"/>
          <w:spacing w:val="0"/>
          <w:sz w:val="18"/>
          <w:szCs w:val="18"/>
          <w14:textFill>
            <w14:solidFill>
              <w14:schemeClr w14:val="tx1"/>
            </w14:solidFill>
          </w14:textFill>
        </w:rPr>
        <w:t>普通投资者在信息告知、风险警示、适当性匹配等方面享有特别保护。</w:t>
      </w:r>
      <w:r>
        <w:rPr>
          <w:rFonts w:hint="eastAsia" w:cs="宋体" w:asciiTheme="minorEastAsia" w:hAnsiTheme="minorEastAsia" w:eastAsiaTheme="minorEastAsia"/>
          <w:bCs/>
          <w:color w:val="000000" w:themeColor="text1"/>
          <w:spacing w:val="0"/>
          <w:sz w:val="18"/>
          <w:szCs w:val="18"/>
          <w14:textFill>
            <w14:solidFill>
              <w14:schemeClr w14:val="tx1"/>
            </w14:solidFill>
          </w14:textFill>
        </w:rPr>
        <w:t>普通投资者在一定条件下可转化为专业投资者。</w:t>
      </w:r>
    </w:p>
    <w:p>
      <w:pPr>
        <w:pStyle w:val="222"/>
        <w:numPr>
          <w:ilvl w:val="0"/>
          <w:numId w:val="2"/>
        </w:numPr>
        <w:spacing w:line="360" w:lineRule="exact"/>
        <w:ind w:firstLineChars="0"/>
        <w:rPr>
          <w:rFonts w:cs="宋体" w:asciiTheme="minorEastAsia" w:hAnsiTheme="minorEastAsia"/>
          <w:bCs/>
          <w:color w:val="000000" w:themeColor="text1"/>
          <w:sz w:val="18"/>
          <w:szCs w:val="18"/>
          <w14:textFill>
            <w14:solidFill>
              <w14:schemeClr w14:val="tx1"/>
            </w14:solidFill>
          </w14:textFill>
        </w:rPr>
      </w:pPr>
      <w:r>
        <w:rPr>
          <w:rFonts w:hint="eastAsia" w:cs="宋体" w:asciiTheme="minorEastAsia" w:hAnsiTheme="minorEastAsia"/>
          <w:bCs/>
          <w:color w:val="000000" w:themeColor="text1"/>
          <w:sz w:val="18"/>
          <w:szCs w:val="18"/>
          <w14:textFill>
            <w14:solidFill>
              <w14:schemeClr w14:val="tx1"/>
            </w14:solidFill>
          </w14:textFill>
        </w:rPr>
        <w:t>专业投资者分类如下：</w:t>
      </w:r>
    </w:p>
    <w:tbl>
      <w:tblPr>
        <w:tblStyle w:val="37"/>
        <w:tblW w:w="951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56"/>
        <w:gridCol w:w="87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756" w:type="dxa"/>
            <w:shd w:val="clear" w:color="auto" w:fill="auto"/>
            <w:noWrap/>
            <w:vAlign w:val="center"/>
          </w:tcPr>
          <w:p>
            <w:pPr>
              <w:jc w:val="center"/>
              <w:rPr>
                <w:rFonts w:cs="宋体" w:asciiTheme="minorEastAsia" w:hAnsiTheme="minorEastAsia" w:eastAsiaTheme="minorEastAsia"/>
                <w:b/>
                <w:color w:val="000000"/>
                <w:spacing w:val="0"/>
                <w:sz w:val="18"/>
                <w:szCs w:val="18"/>
              </w:rPr>
            </w:pPr>
            <w:r>
              <w:rPr>
                <w:rFonts w:hint="eastAsia" w:cs="宋体" w:asciiTheme="minorEastAsia" w:hAnsiTheme="minorEastAsia" w:eastAsiaTheme="minorEastAsia"/>
                <w:b/>
                <w:color w:val="000000"/>
                <w:spacing w:val="0"/>
                <w:sz w:val="18"/>
                <w:szCs w:val="18"/>
              </w:rPr>
              <w:t>类别</w:t>
            </w:r>
          </w:p>
        </w:tc>
        <w:tc>
          <w:tcPr>
            <w:tcW w:w="8757" w:type="dxa"/>
            <w:shd w:val="clear" w:color="auto" w:fill="auto"/>
            <w:vAlign w:val="center"/>
          </w:tcPr>
          <w:p>
            <w:pPr>
              <w:jc w:val="center"/>
              <w:rPr>
                <w:rFonts w:cs="宋体" w:asciiTheme="minorEastAsia" w:hAnsiTheme="minorEastAsia" w:eastAsiaTheme="minorEastAsia"/>
                <w:b/>
                <w:color w:val="000000"/>
                <w:spacing w:val="0"/>
                <w:sz w:val="18"/>
                <w:szCs w:val="18"/>
              </w:rPr>
            </w:pPr>
            <w:r>
              <w:rPr>
                <w:rFonts w:hint="eastAsia" w:cs="宋体" w:asciiTheme="minorEastAsia" w:hAnsiTheme="minorEastAsia" w:eastAsiaTheme="minorEastAsia"/>
                <w:b/>
                <w:color w:val="000000"/>
                <w:spacing w:val="0"/>
                <w:sz w:val="18"/>
                <w:szCs w:val="18"/>
              </w:rPr>
              <w:t>机构资质/投资经验/投资实力要求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756" w:type="dxa"/>
            <w:shd w:val="clear" w:color="auto" w:fill="auto"/>
            <w:noWrap/>
            <w:vAlign w:val="center"/>
          </w:tcPr>
          <w:p>
            <w:pPr>
              <w:jc w:val="cente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A</w:t>
            </w:r>
          </w:p>
        </w:tc>
        <w:tc>
          <w:tcPr>
            <w:tcW w:w="8757" w:type="dxa"/>
            <w:shd w:val="clear" w:color="auto" w:fill="auto"/>
            <w:vAlign w:val="center"/>
          </w:tcPr>
          <w:p>
            <w:pP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经有关金融监管部门批准设立的金融机构，包括证券公司、期货公司、基金管理公司及其子公司、商业银行、保险公司、信托公司、财务公司等；经行业协会备案或者登记的证券公司子公司、期货公司子公司、私募基金管理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756" w:type="dxa"/>
            <w:shd w:val="clear" w:color="auto" w:fill="auto"/>
            <w:noWrap/>
            <w:vAlign w:val="center"/>
          </w:tcPr>
          <w:p>
            <w:pPr>
              <w:jc w:val="cente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B</w:t>
            </w:r>
          </w:p>
        </w:tc>
        <w:tc>
          <w:tcPr>
            <w:tcW w:w="8757" w:type="dxa"/>
            <w:shd w:val="clear" w:color="auto" w:fill="auto"/>
            <w:vAlign w:val="center"/>
          </w:tcPr>
          <w:p>
            <w:pP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A类专业投资者面向投资者发行的理财产品，包括但不限于证券公司资产管理产品、基金管理公司及其子公司产品、期货公司资产管理产品、银行理财产品、保险产品、信托产品、经行业协会备案的私募基金。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756" w:type="dxa"/>
            <w:shd w:val="clear" w:color="auto" w:fill="auto"/>
            <w:noWrap/>
            <w:vAlign w:val="center"/>
          </w:tcPr>
          <w:p>
            <w:pPr>
              <w:jc w:val="cente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C</w:t>
            </w:r>
          </w:p>
        </w:tc>
        <w:tc>
          <w:tcPr>
            <w:tcW w:w="8757" w:type="dxa"/>
            <w:shd w:val="clear" w:color="auto" w:fill="auto"/>
            <w:vAlign w:val="center"/>
          </w:tcPr>
          <w:p>
            <w:pP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社会保障基金、企业年金等养老基金，慈善基金等社会公益基金，合格境外机构投资者（QFII）、人民币合格境外机构投资者（RQFII）。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756" w:type="dxa"/>
            <w:shd w:val="clear" w:color="auto" w:fill="auto"/>
            <w:noWrap/>
            <w:vAlign w:val="center"/>
          </w:tcPr>
          <w:p>
            <w:pPr>
              <w:jc w:val="cente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D</w:t>
            </w:r>
          </w:p>
        </w:tc>
        <w:tc>
          <w:tcPr>
            <w:tcW w:w="8757" w:type="dxa"/>
            <w:shd w:val="clear" w:color="auto" w:fill="auto"/>
            <w:vAlign w:val="center"/>
          </w:tcPr>
          <w:p>
            <w:pP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同时符合下列条件的法人或者其他组织：</w:t>
            </w:r>
          </w:p>
          <w:p>
            <w:pP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 xml:space="preserve">a) 最近1年末净资产不低于2000万元； </w:t>
            </w:r>
          </w:p>
          <w:p>
            <w:pP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b) 最近1年末金融资产不低于1000万元；</w:t>
            </w:r>
          </w:p>
          <w:p>
            <w:pP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c) 具有2年以上证券、基金、期货、黄金、外汇等投资经历。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756" w:type="dxa"/>
            <w:shd w:val="clear" w:color="auto" w:fill="auto"/>
            <w:noWrap/>
            <w:vAlign w:val="center"/>
          </w:tcPr>
          <w:p>
            <w:pPr>
              <w:jc w:val="cente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E</w:t>
            </w:r>
          </w:p>
        </w:tc>
        <w:tc>
          <w:tcPr>
            <w:tcW w:w="8757" w:type="dxa"/>
            <w:shd w:val="clear" w:color="auto" w:fill="auto"/>
            <w:vAlign w:val="center"/>
          </w:tcPr>
          <w:p>
            <w:pP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同时符合下列条件的自然人：</w:t>
            </w:r>
          </w:p>
          <w:p>
            <w:pP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a) 金融资产不低于500万元，或者最近3年个人年均收入不低于50万元；</w:t>
            </w:r>
          </w:p>
          <w:p>
            <w:pP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b) 具有2年以上证券、基金、期货、黄金、外汇等投资经历，或者具有2年以上金融产品设计、投资、风险管理及相关工作经历，或者属于A类专业投资者的高级管理人员、获得职业资格认证的从事金融相关业务的注册会计师和律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756" w:type="dxa"/>
            <w:shd w:val="clear" w:color="auto" w:fill="auto"/>
            <w:noWrap/>
            <w:vAlign w:val="center"/>
          </w:tcPr>
          <w:p>
            <w:pPr>
              <w:jc w:val="cente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F</w:t>
            </w:r>
          </w:p>
        </w:tc>
        <w:tc>
          <w:tcPr>
            <w:tcW w:w="8757" w:type="dxa"/>
            <w:shd w:val="clear" w:color="auto" w:fill="auto"/>
            <w:vAlign w:val="center"/>
          </w:tcPr>
          <w:p>
            <w:pP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同时符合下列条件的法人或者其他组织，经书面申请及经营机构评估后，转化为的专业投资者：</w:t>
            </w:r>
          </w:p>
          <w:p>
            <w:pP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a) 最近1年末净资产不低于1000万元；</w:t>
            </w:r>
          </w:p>
          <w:p>
            <w:pP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b) 最近1年末金融资产不低于500万元；</w:t>
            </w:r>
          </w:p>
          <w:p>
            <w:pP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c) 具有1年以上证券、基金、期货、黄金、外汇等投资经历。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756" w:type="dxa"/>
            <w:shd w:val="clear" w:color="auto" w:fill="auto"/>
            <w:noWrap/>
            <w:vAlign w:val="center"/>
          </w:tcPr>
          <w:p>
            <w:pPr>
              <w:jc w:val="cente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G</w:t>
            </w:r>
          </w:p>
        </w:tc>
        <w:tc>
          <w:tcPr>
            <w:tcW w:w="8757" w:type="dxa"/>
            <w:shd w:val="clear" w:color="auto" w:fill="auto"/>
            <w:vAlign w:val="center"/>
          </w:tcPr>
          <w:p>
            <w:pP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同时符合下列条件的自然人，经书面申请及经营机构评估后，转化为的专业投资者：</w:t>
            </w:r>
          </w:p>
          <w:p>
            <w:pP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a) 金融资产不低于300万元，或者最近3年个人年均收入不低于30万元；</w:t>
            </w:r>
          </w:p>
          <w:p>
            <w:pPr>
              <w:rPr>
                <w:rFonts w:cs="宋体" w:asciiTheme="minorEastAsia" w:hAnsiTheme="minorEastAsia" w:eastAsiaTheme="minorEastAsia"/>
                <w:color w:val="000000"/>
                <w:spacing w:val="0"/>
                <w:sz w:val="18"/>
                <w:szCs w:val="18"/>
              </w:rPr>
            </w:pPr>
            <w:r>
              <w:rPr>
                <w:rFonts w:hint="eastAsia" w:cs="宋体" w:asciiTheme="minorEastAsia" w:hAnsiTheme="minorEastAsia" w:eastAsiaTheme="minorEastAsia"/>
                <w:color w:val="000000"/>
                <w:spacing w:val="0"/>
                <w:sz w:val="18"/>
                <w:szCs w:val="18"/>
              </w:rPr>
              <w:t>b) 具有1年以上证券、基金、期货、黄金、外汇等投资经历或者1年以上金融产品设计、投资、风险管理及相关工作经历的自然人投资者。</w:t>
            </w:r>
          </w:p>
        </w:tc>
      </w:tr>
    </w:tbl>
    <w:p>
      <w:pPr>
        <w:spacing w:line="360" w:lineRule="exact"/>
        <w:ind w:firstLine="360" w:firstLineChars="200"/>
        <w:rPr>
          <w:rFonts w:cs="宋体" w:asciiTheme="minorEastAsia" w:hAnsiTheme="minorEastAsia" w:eastAsiaTheme="minorEastAsia"/>
          <w:bCs/>
          <w:color w:val="000000" w:themeColor="text1"/>
          <w:spacing w:val="0"/>
          <w:sz w:val="18"/>
          <w:szCs w:val="18"/>
          <w14:textFill>
            <w14:solidFill>
              <w14:schemeClr w14:val="tx1"/>
            </w14:solidFill>
          </w14:textFill>
        </w:rPr>
      </w:pPr>
      <w:r>
        <w:rPr>
          <w:rFonts w:hint="eastAsia" w:cs="宋体" w:asciiTheme="minorEastAsia" w:hAnsiTheme="minorEastAsia" w:eastAsiaTheme="minorEastAsia"/>
          <w:bCs/>
          <w:color w:val="000000" w:themeColor="text1"/>
          <w:spacing w:val="0"/>
          <w:sz w:val="18"/>
          <w:szCs w:val="18"/>
          <w14:textFill>
            <w14:solidFill>
              <w14:schemeClr w14:val="tx1"/>
            </w14:solidFill>
          </w14:textFill>
        </w:rPr>
        <w:t>（二）普通投资者：专业投资者以外的投资者即为普通投资者。通过方正富邦直销电子交易平台开立基金账户的投资者默认为普通投资者。</w:t>
      </w:r>
    </w:p>
    <w:p>
      <w:pPr>
        <w:spacing w:line="360" w:lineRule="exact"/>
        <w:ind w:firstLine="360" w:firstLineChars="200"/>
        <w:rPr>
          <w:rFonts w:cs="宋体" w:asciiTheme="minorEastAsia" w:hAnsiTheme="minorEastAsia" w:eastAsiaTheme="minorEastAsia"/>
          <w:b/>
          <w:bCs/>
          <w:color w:val="000000" w:themeColor="text1"/>
          <w:spacing w:val="0"/>
          <w:sz w:val="18"/>
          <w:szCs w:val="18"/>
          <w14:textFill>
            <w14:solidFill>
              <w14:schemeClr w14:val="tx1"/>
            </w14:solidFill>
          </w14:textFill>
        </w:rPr>
      </w:pPr>
      <w:r>
        <w:rPr>
          <w:rFonts w:hint="eastAsia" w:cs="宋体" w:asciiTheme="minorEastAsia" w:hAnsiTheme="minorEastAsia" w:eastAsiaTheme="minorEastAsia"/>
          <w:b/>
          <w:bCs/>
          <w:color w:val="000000" w:themeColor="text1"/>
          <w:spacing w:val="0"/>
          <w:sz w:val="18"/>
          <w:szCs w:val="18"/>
          <w14:textFill>
            <w14:solidFill>
              <w14:schemeClr w14:val="tx1"/>
            </w14:solidFill>
          </w14:textFill>
        </w:rPr>
        <w:t>普通投资者享有的特别保护包括：</w:t>
      </w:r>
    </w:p>
    <w:p>
      <w:pPr>
        <w:spacing w:line="360" w:lineRule="exact"/>
        <w:ind w:firstLine="360" w:firstLineChars="200"/>
        <w:rPr>
          <w:rFonts w:cs="宋体" w:asciiTheme="minorEastAsia" w:hAnsiTheme="minorEastAsia" w:eastAsiaTheme="minorEastAsia"/>
          <w:b/>
          <w:bCs/>
          <w:color w:val="000000" w:themeColor="text1"/>
          <w:spacing w:val="0"/>
          <w:sz w:val="18"/>
          <w:szCs w:val="18"/>
          <w14:textFill>
            <w14:solidFill>
              <w14:schemeClr w14:val="tx1"/>
            </w14:solidFill>
          </w14:textFill>
        </w:rPr>
      </w:pPr>
      <w:r>
        <w:rPr>
          <w:rFonts w:cs="宋体" w:asciiTheme="minorEastAsia" w:hAnsiTheme="minorEastAsia" w:eastAsiaTheme="minorEastAsia"/>
          <w:b/>
          <w:bCs/>
          <w:color w:val="000000" w:themeColor="text1"/>
          <w:spacing w:val="0"/>
          <w:sz w:val="18"/>
          <w:szCs w:val="18"/>
          <w14:textFill>
            <w14:solidFill>
              <w14:schemeClr w14:val="tx1"/>
            </w14:solidFill>
          </w14:textFill>
        </w:rPr>
        <w:t>1、</w:t>
      </w:r>
      <w:r>
        <w:rPr>
          <w:rFonts w:hint="eastAsia" w:cs="宋体" w:asciiTheme="minorEastAsia" w:hAnsiTheme="minorEastAsia" w:eastAsiaTheme="minorEastAsia"/>
          <w:b/>
          <w:bCs/>
          <w:color w:val="000000" w:themeColor="text1"/>
          <w:spacing w:val="0"/>
          <w:sz w:val="18"/>
          <w:szCs w:val="18"/>
          <w14:textFill>
            <w14:solidFill>
              <w14:schemeClr w14:val="tx1"/>
            </w14:solidFill>
          </w14:textFill>
        </w:rPr>
        <w:t>向普通投资者销售产品前，公司应当对普通投资者进行风险警示；</w:t>
      </w:r>
    </w:p>
    <w:p>
      <w:pPr>
        <w:spacing w:line="360" w:lineRule="exact"/>
        <w:ind w:firstLine="360" w:firstLineChars="200"/>
        <w:rPr>
          <w:rFonts w:cs="宋体" w:asciiTheme="minorEastAsia" w:hAnsiTheme="minorEastAsia" w:eastAsiaTheme="minorEastAsia"/>
          <w:b/>
          <w:bCs/>
          <w:color w:val="000000" w:themeColor="text1"/>
          <w:spacing w:val="0"/>
          <w:sz w:val="18"/>
          <w:szCs w:val="18"/>
          <w14:textFill>
            <w14:solidFill>
              <w14:schemeClr w14:val="tx1"/>
            </w14:solidFill>
          </w14:textFill>
        </w:rPr>
      </w:pPr>
      <w:r>
        <w:rPr>
          <w:rFonts w:cs="宋体" w:asciiTheme="minorEastAsia" w:hAnsiTheme="minorEastAsia" w:eastAsiaTheme="minorEastAsia"/>
          <w:b/>
          <w:bCs/>
          <w:color w:val="000000" w:themeColor="text1"/>
          <w:spacing w:val="0"/>
          <w:sz w:val="18"/>
          <w:szCs w:val="18"/>
          <w14:textFill>
            <w14:solidFill>
              <w14:schemeClr w14:val="tx1"/>
            </w14:solidFill>
          </w14:textFill>
        </w:rPr>
        <w:t>2、向</w:t>
      </w:r>
      <w:r>
        <w:rPr>
          <w:rFonts w:hint="eastAsia" w:cs="宋体" w:asciiTheme="minorEastAsia" w:hAnsiTheme="minorEastAsia" w:eastAsiaTheme="minorEastAsia"/>
          <w:b/>
          <w:bCs/>
          <w:color w:val="000000" w:themeColor="text1"/>
          <w:spacing w:val="0"/>
          <w:sz w:val="18"/>
          <w:szCs w:val="18"/>
          <w14:textFill>
            <w14:solidFill>
              <w14:schemeClr w14:val="tx1"/>
            </w14:solidFill>
          </w14:textFill>
        </w:rPr>
        <w:t>普通投资者销售高风险产品前，公司应当向其完整揭示产品信息，并告知特别的风险点；</w:t>
      </w:r>
    </w:p>
    <w:p>
      <w:pPr>
        <w:spacing w:line="360" w:lineRule="exact"/>
        <w:ind w:firstLine="360" w:firstLineChars="200"/>
        <w:rPr>
          <w:rFonts w:cs="宋体" w:asciiTheme="minorEastAsia" w:hAnsiTheme="minorEastAsia" w:eastAsiaTheme="minorEastAsia"/>
          <w:b/>
          <w:bCs/>
          <w:color w:val="000000" w:themeColor="text1"/>
          <w:spacing w:val="0"/>
          <w:sz w:val="18"/>
          <w:szCs w:val="18"/>
          <w14:textFill>
            <w14:solidFill>
              <w14:schemeClr w14:val="tx1"/>
            </w14:solidFill>
          </w14:textFill>
        </w:rPr>
      </w:pPr>
      <w:r>
        <w:rPr>
          <w:rFonts w:cs="宋体" w:asciiTheme="minorEastAsia" w:hAnsiTheme="minorEastAsia" w:eastAsiaTheme="minorEastAsia"/>
          <w:b/>
          <w:bCs/>
          <w:color w:val="000000" w:themeColor="text1"/>
          <w:spacing w:val="0"/>
          <w:sz w:val="18"/>
          <w:szCs w:val="18"/>
          <w14:textFill>
            <w14:solidFill>
              <w14:schemeClr w14:val="tx1"/>
            </w14:solidFill>
          </w14:textFill>
        </w:rPr>
        <w:t>3、普通投资者申请转化为专业投资者，公司应当</w:t>
      </w:r>
      <w:r>
        <w:rPr>
          <w:rFonts w:hint="eastAsia" w:cs="宋体" w:asciiTheme="minorEastAsia" w:hAnsiTheme="minorEastAsia" w:eastAsiaTheme="minorEastAsia"/>
          <w:b/>
          <w:bCs/>
          <w:color w:val="000000" w:themeColor="text1"/>
          <w:spacing w:val="0"/>
          <w:sz w:val="18"/>
          <w:szCs w:val="18"/>
          <w14:textFill>
            <w14:solidFill>
              <w14:schemeClr w14:val="tx1"/>
            </w14:solidFill>
          </w14:textFill>
        </w:rPr>
        <w:t>向普通投资者说明对不同类别投资者履行适当性义务的差别，警示可能承担的投资风险；</w:t>
      </w:r>
    </w:p>
    <w:p>
      <w:pPr>
        <w:spacing w:line="360" w:lineRule="exact"/>
        <w:ind w:firstLine="360" w:firstLineChars="200"/>
        <w:rPr>
          <w:rFonts w:cs="宋体" w:asciiTheme="minorEastAsia" w:hAnsiTheme="minorEastAsia" w:eastAsiaTheme="minorEastAsia"/>
          <w:b/>
          <w:bCs/>
          <w:color w:val="000000" w:themeColor="text1"/>
          <w:spacing w:val="0"/>
          <w:sz w:val="18"/>
          <w:szCs w:val="18"/>
          <w14:textFill>
            <w14:solidFill>
              <w14:schemeClr w14:val="tx1"/>
            </w14:solidFill>
          </w14:textFill>
        </w:rPr>
      </w:pPr>
      <w:r>
        <w:rPr>
          <w:rFonts w:cs="宋体" w:asciiTheme="minorEastAsia" w:hAnsiTheme="minorEastAsia" w:eastAsiaTheme="minorEastAsia"/>
          <w:b/>
          <w:bCs/>
          <w:color w:val="000000" w:themeColor="text1"/>
          <w:spacing w:val="0"/>
          <w:sz w:val="18"/>
          <w:szCs w:val="18"/>
          <w14:textFill>
            <w14:solidFill>
              <w14:schemeClr w14:val="tx1"/>
            </w14:solidFill>
          </w14:textFill>
        </w:rPr>
        <w:t>4、</w:t>
      </w:r>
      <w:r>
        <w:rPr>
          <w:rFonts w:hint="eastAsia" w:cs="宋体" w:asciiTheme="minorEastAsia" w:hAnsiTheme="minorEastAsia" w:eastAsiaTheme="minorEastAsia"/>
          <w:b/>
          <w:bCs/>
          <w:color w:val="000000" w:themeColor="text1"/>
          <w:spacing w:val="0"/>
          <w:sz w:val="18"/>
          <w:szCs w:val="18"/>
          <w14:textFill>
            <w14:solidFill>
              <w14:schemeClr w14:val="tx1"/>
            </w14:solidFill>
          </w14:textFill>
        </w:rPr>
        <w:t>普通投资者主动购买风险不匹配产品时，公司应当向投资者进行特别警示，投资者可选择终止交易，也可选择继续购买。</w:t>
      </w:r>
    </w:p>
    <w:p>
      <w:pPr>
        <w:spacing w:line="360" w:lineRule="exact"/>
        <w:ind w:firstLine="360" w:firstLineChars="200"/>
        <w:rPr>
          <w:rFonts w:cs="宋体" w:asciiTheme="minorEastAsia" w:hAnsiTheme="minorEastAsia" w:eastAsiaTheme="minorEastAsia"/>
          <w:bCs/>
          <w:color w:val="000000" w:themeColor="text1"/>
          <w:spacing w:val="0"/>
          <w:sz w:val="18"/>
          <w:szCs w:val="18"/>
          <w14:textFill>
            <w14:solidFill>
              <w14:schemeClr w14:val="tx1"/>
            </w14:solidFill>
          </w14:textFill>
        </w:rPr>
      </w:pPr>
      <w:r>
        <w:rPr>
          <w:rFonts w:hint="eastAsia" w:cs="宋体" w:asciiTheme="minorEastAsia" w:hAnsiTheme="minorEastAsia" w:eastAsiaTheme="minorEastAsia"/>
          <w:bCs/>
          <w:color w:val="000000" w:themeColor="text1"/>
          <w:spacing w:val="0"/>
          <w:sz w:val="18"/>
          <w:szCs w:val="18"/>
          <w14:textFill>
            <w14:solidFill>
              <w14:schemeClr w14:val="tx1"/>
            </w14:solidFill>
          </w14:textFill>
        </w:rPr>
        <w:t>（三）普通投资者与专业投资者的互相转化</w:t>
      </w:r>
    </w:p>
    <w:p>
      <w:pPr>
        <w:spacing w:line="360" w:lineRule="exact"/>
        <w:ind w:firstLine="360" w:firstLineChars="200"/>
        <w:rPr>
          <w:rFonts w:cs="宋体" w:asciiTheme="minorEastAsia" w:hAnsiTheme="minorEastAsia" w:eastAsiaTheme="minorEastAsia"/>
          <w:bCs/>
          <w:color w:val="000000" w:themeColor="text1"/>
          <w:spacing w:val="0"/>
          <w:sz w:val="18"/>
          <w:szCs w:val="18"/>
          <w14:textFill>
            <w14:solidFill>
              <w14:schemeClr w14:val="tx1"/>
            </w14:solidFill>
          </w14:textFill>
        </w:rPr>
      </w:pPr>
      <w:r>
        <w:rPr>
          <w:rFonts w:hint="eastAsia" w:cs="宋体" w:asciiTheme="minorEastAsia" w:hAnsiTheme="minorEastAsia" w:eastAsiaTheme="minorEastAsia"/>
          <w:bCs/>
          <w:color w:val="000000" w:themeColor="text1"/>
          <w:spacing w:val="0"/>
          <w:sz w:val="18"/>
          <w:szCs w:val="18"/>
          <w14:textFill>
            <w14:solidFill>
              <w14:schemeClr w14:val="tx1"/>
            </w14:solidFill>
          </w14:textFill>
        </w:rPr>
        <w:t>普通投资者与专业投资者在一定条件下可互相转化，投资者类型的转化仅可通过直销中心办理。</w:t>
      </w:r>
    </w:p>
    <w:p>
      <w:pPr>
        <w:spacing w:line="360" w:lineRule="exact"/>
        <w:ind w:firstLine="360" w:firstLineChars="200"/>
        <w:rPr>
          <w:rFonts w:cs="宋体" w:asciiTheme="minorEastAsia" w:hAnsiTheme="minorEastAsia" w:eastAsiaTheme="minorEastAsia"/>
          <w:bCs/>
          <w:color w:val="000000" w:themeColor="text1"/>
          <w:spacing w:val="0"/>
          <w:sz w:val="18"/>
          <w:szCs w:val="18"/>
          <w14:textFill>
            <w14:solidFill>
              <w14:schemeClr w14:val="tx1"/>
            </w14:solidFill>
          </w14:textFill>
        </w:rPr>
      </w:pPr>
      <w:r>
        <w:rPr>
          <w:rFonts w:cs="宋体" w:asciiTheme="minorEastAsia" w:hAnsiTheme="minorEastAsia" w:eastAsiaTheme="minorEastAsia"/>
          <w:bCs/>
          <w:color w:val="000000" w:themeColor="text1"/>
          <w:spacing w:val="0"/>
          <w:sz w:val="18"/>
          <w:szCs w:val="18"/>
          <w14:textFill>
            <w14:solidFill>
              <w14:schemeClr w14:val="tx1"/>
            </w14:solidFill>
          </w14:textFill>
        </w:rPr>
        <w:t>1、</w:t>
      </w:r>
      <w:r>
        <w:rPr>
          <w:rFonts w:hint="eastAsia" w:cs="宋体" w:asciiTheme="minorEastAsia" w:hAnsiTheme="minorEastAsia" w:eastAsiaTheme="minorEastAsia"/>
          <w:bCs/>
          <w:color w:val="000000" w:themeColor="text1"/>
          <w:spacing w:val="0"/>
          <w:sz w:val="18"/>
          <w:szCs w:val="18"/>
          <w14:textFill>
            <w14:solidFill>
              <w14:schemeClr w14:val="tx1"/>
            </w14:solidFill>
          </w14:textFill>
        </w:rPr>
        <w:t>专业投资者转化为普通投资者</w:t>
      </w:r>
    </w:p>
    <w:p>
      <w:pPr>
        <w:spacing w:line="360" w:lineRule="exact"/>
        <w:ind w:firstLine="360" w:firstLineChars="200"/>
        <w:rPr>
          <w:rFonts w:cs="宋体" w:asciiTheme="minorEastAsia" w:hAnsiTheme="minorEastAsia" w:eastAsiaTheme="minorEastAsia"/>
          <w:bCs/>
          <w:color w:val="000000" w:themeColor="text1"/>
          <w:spacing w:val="0"/>
          <w:sz w:val="18"/>
          <w:szCs w:val="18"/>
          <w14:textFill>
            <w14:solidFill>
              <w14:schemeClr w14:val="tx1"/>
            </w14:solidFill>
          </w14:textFill>
        </w:rPr>
      </w:pPr>
      <w:r>
        <w:rPr>
          <w:rFonts w:hint="eastAsia" w:cs="宋体" w:asciiTheme="minorEastAsia" w:hAnsiTheme="minorEastAsia" w:eastAsiaTheme="minorEastAsia"/>
          <w:bCs/>
          <w:color w:val="000000" w:themeColor="text1"/>
          <w:spacing w:val="0"/>
          <w:sz w:val="18"/>
          <w:szCs w:val="18"/>
          <w14:textFill>
            <w14:solidFill>
              <w14:schemeClr w14:val="tx1"/>
            </w14:solidFill>
          </w14:textFill>
        </w:rPr>
        <w:t>D\E\F\G</w:t>
      </w:r>
      <w:r>
        <w:rPr>
          <w:rFonts w:cs="宋体" w:asciiTheme="minorEastAsia" w:hAnsiTheme="minorEastAsia" w:eastAsiaTheme="minorEastAsia"/>
          <w:bCs/>
          <w:color w:val="000000" w:themeColor="text1"/>
          <w:spacing w:val="0"/>
          <w:sz w:val="18"/>
          <w:szCs w:val="18"/>
          <w14:textFill>
            <w14:solidFill>
              <w14:schemeClr w14:val="tx1"/>
            </w14:solidFill>
          </w14:textFill>
        </w:rPr>
        <w:t>类专业投资者可以书面告知公司选择成为普通投资者，公司应当对其履行相应的适当性义务。</w:t>
      </w:r>
    </w:p>
    <w:p>
      <w:pPr>
        <w:spacing w:line="360" w:lineRule="exact"/>
        <w:ind w:firstLine="360" w:firstLineChars="200"/>
        <w:rPr>
          <w:rFonts w:cs="宋体" w:asciiTheme="minorEastAsia" w:hAnsiTheme="minorEastAsia" w:eastAsiaTheme="minorEastAsia"/>
          <w:bCs/>
          <w:color w:val="000000" w:themeColor="text1"/>
          <w:spacing w:val="0"/>
          <w:sz w:val="18"/>
          <w:szCs w:val="18"/>
          <w14:textFill>
            <w14:solidFill>
              <w14:schemeClr w14:val="tx1"/>
            </w14:solidFill>
          </w14:textFill>
        </w:rPr>
      </w:pPr>
      <w:r>
        <w:rPr>
          <w:rFonts w:cs="宋体" w:asciiTheme="minorEastAsia" w:hAnsiTheme="minorEastAsia" w:eastAsiaTheme="minorEastAsia"/>
          <w:bCs/>
          <w:color w:val="000000" w:themeColor="text1"/>
          <w:spacing w:val="0"/>
          <w:sz w:val="18"/>
          <w:szCs w:val="18"/>
          <w14:textFill>
            <w14:solidFill>
              <w14:schemeClr w14:val="tx1"/>
            </w14:solidFill>
          </w14:textFill>
        </w:rPr>
        <w:t>2、</w:t>
      </w:r>
      <w:r>
        <w:rPr>
          <w:rFonts w:hint="eastAsia" w:cs="宋体" w:asciiTheme="minorEastAsia" w:hAnsiTheme="minorEastAsia" w:eastAsiaTheme="minorEastAsia"/>
          <w:bCs/>
          <w:color w:val="000000" w:themeColor="text1"/>
          <w:spacing w:val="0"/>
          <w:sz w:val="18"/>
          <w:szCs w:val="18"/>
          <w14:textFill>
            <w14:solidFill>
              <w14:schemeClr w14:val="tx1"/>
            </w14:solidFill>
          </w14:textFill>
        </w:rPr>
        <w:t>普通投资者转化为专业投资者</w:t>
      </w:r>
    </w:p>
    <w:p>
      <w:pPr>
        <w:spacing w:line="360" w:lineRule="exact"/>
        <w:ind w:firstLine="360" w:firstLineChars="200"/>
        <w:rPr>
          <w:rFonts w:cs="宋体" w:asciiTheme="minorEastAsia" w:hAnsiTheme="minorEastAsia" w:eastAsiaTheme="minorEastAsia"/>
          <w:bCs/>
          <w:color w:val="000000" w:themeColor="text1"/>
          <w:spacing w:val="0"/>
          <w:sz w:val="18"/>
          <w:szCs w:val="18"/>
          <w14:textFill>
            <w14:solidFill>
              <w14:schemeClr w14:val="tx1"/>
            </w14:solidFill>
          </w14:textFill>
        </w:rPr>
      </w:pPr>
      <w:r>
        <w:rPr>
          <w:rFonts w:hint="eastAsia" w:cs="宋体" w:asciiTheme="minorEastAsia" w:hAnsiTheme="minorEastAsia" w:eastAsiaTheme="minorEastAsia"/>
          <w:bCs/>
          <w:color w:val="000000" w:themeColor="text1"/>
          <w:spacing w:val="0"/>
          <w:sz w:val="18"/>
          <w:szCs w:val="18"/>
          <w14:textFill>
            <w14:solidFill>
              <w14:schemeClr w14:val="tx1"/>
            </w14:solidFill>
          </w14:textFill>
        </w:rPr>
        <w:t>普通投资者可申请转化为F\G</w:t>
      </w:r>
      <w:r>
        <w:rPr>
          <w:rFonts w:cs="宋体" w:asciiTheme="minorEastAsia" w:hAnsiTheme="minorEastAsia" w:eastAsiaTheme="minorEastAsia"/>
          <w:bCs/>
          <w:color w:val="000000" w:themeColor="text1"/>
          <w:spacing w:val="0"/>
          <w:sz w:val="18"/>
          <w:szCs w:val="18"/>
          <w14:textFill>
            <w14:solidFill>
              <w14:schemeClr w14:val="tx1"/>
            </w14:solidFill>
          </w14:textFill>
        </w:rPr>
        <w:t>类专业投资者，投资者应向直销中心提交《</w:t>
      </w:r>
      <w:r>
        <w:rPr>
          <w:rFonts w:hint="eastAsia" w:cs="宋体" w:asciiTheme="minorEastAsia" w:hAnsiTheme="minorEastAsia" w:eastAsiaTheme="minorEastAsia"/>
          <w:bCs/>
          <w:color w:val="000000" w:themeColor="text1"/>
          <w:spacing w:val="0"/>
          <w:sz w:val="18"/>
          <w:szCs w:val="18"/>
          <w14:textFill>
            <w14:solidFill>
              <w14:schemeClr w14:val="tx1"/>
            </w14:solidFill>
          </w14:textFill>
        </w:rPr>
        <w:t>普通投资者转化为专业投资者申请及确认书</w:t>
      </w:r>
      <w:r>
        <w:rPr>
          <w:rFonts w:cs="宋体" w:asciiTheme="minorEastAsia" w:hAnsiTheme="minorEastAsia" w:eastAsiaTheme="minorEastAsia"/>
          <w:bCs/>
          <w:color w:val="000000" w:themeColor="text1"/>
          <w:spacing w:val="0"/>
          <w:sz w:val="18"/>
          <w:szCs w:val="18"/>
          <w14:textFill>
            <w14:solidFill>
              <w14:schemeClr w14:val="tx1"/>
            </w14:solidFill>
          </w14:textFill>
        </w:rPr>
        <w:t>》，以书面形式确认自行承担转化后可能产生的风险后果；同时应提交相关证明材料，填写《投资知识测评问卷》。</w:t>
      </w:r>
    </w:p>
    <w:p>
      <w:pPr>
        <w:spacing w:line="360" w:lineRule="exact"/>
        <w:ind w:firstLine="360" w:firstLineChars="200"/>
        <w:rPr>
          <w:rFonts w:cs="宋体" w:asciiTheme="minorEastAsia" w:hAnsiTheme="minorEastAsia" w:eastAsiaTheme="minorEastAsia"/>
          <w:bCs/>
          <w:color w:val="000000" w:themeColor="text1"/>
          <w:spacing w:val="0"/>
          <w:sz w:val="18"/>
          <w:szCs w:val="18"/>
          <w14:textFill>
            <w14:solidFill>
              <w14:schemeClr w14:val="tx1"/>
            </w14:solidFill>
          </w14:textFill>
        </w:rPr>
      </w:pPr>
      <w:r>
        <w:rPr>
          <w:rFonts w:hint="eastAsia" w:cs="宋体" w:asciiTheme="minorEastAsia" w:hAnsiTheme="minorEastAsia" w:eastAsiaTheme="minorEastAsia"/>
          <w:bCs/>
          <w:color w:val="000000" w:themeColor="text1"/>
          <w:spacing w:val="0"/>
          <w:sz w:val="18"/>
          <w:szCs w:val="18"/>
          <w14:textFill>
            <w14:solidFill>
              <w14:schemeClr w14:val="tx1"/>
            </w14:solidFill>
          </w14:textFill>
        </w:rPr>
        <w:t>直销中心应审核相关证明材料，结合客户《投资知识测评问卷》测评结果，审慎评估是否同意其转化。同意转化的，直销中心应向投资者说明对不同类别投资者履行适当性义务的差别，警示可能承担的投资风险，告知申请的审查结果及其理由，并对告知、警示全过程进行录音或录像。</w:t>
      </w:r>
    </w:p>
    <w:p>
      <w:pPr>
        <w:spacing w:line="360" w:lineRule="exact"/>
        <w:ind w:firstLine="360" w:firstLineChars="200"/>
        <w:rPr>
          <w:rFonts w:cs="宋体" w:asciiTheme="minorEastAsia" w:hAnsiTheme="minorEastAsia" w:eastAsiaTheme="minorEastAsia"/>
          <w:b/>
          <w:bCs/>
          <w:color w:val="000000" w:themeColor="text1"/>
          <w:spacing w:val="0"/>
          <w:sz w:val="18"/>
          <w:szCs w:val="18"/>
          <w14:textFill>
            <w14:solidFill>
              <w14:schemeClr w14:val="tx1"/>
            </w14:solidFill>
          </w14:textFill>
        </w:rPr>
      </w:pPr>
      <w:r>
        <w:rPr>
          <w:rFonts w:hint="eastAsia" w:cs="宋体" w:asciiTheme="minorEastAsia" w:hAnsiTheme="minorEastAsia" w:eastAsiaTheme="minorEastAsia"/>
          <w:bCs/>
          <w:color w:val="000000" w:themeColor="text1"/>
          <w:spacing w:val="0"/>
          <w:sz w:val="18"/>
          <w:szCs w:val="18"/>
          <w14:textFill>
            <w14:solidFill>
              <w14:schemeClr w14:val="tx1"/>
            </w14:solidFill>
          </w14:textFill>
        </w:rPr>
        <w:t>前款所称金融资产，是指银行存款、股票、债券、基金份额、资产管理计划、银行理财产品、信托计划、保险产品、期货及其他衍生产品等。</w:t>
      </w:r>
    </w:p>
    <w:p>
      <w:pPr>
        <w:spacing w:line="360" w:lineRule="exact"/>
        <w:ind w:firstLine="360" w:firstLineChars="200"/>
        <w:rPr>
          <w:rFonts w:cs="宋体" w:asciiTheme="minorEastAsia" w:hAnsiTheme="minorEastAsia" w:eastAsiaTheme="minorEastAsia"/>
          <w:b/>
          <w:bCs/>
          <w:color w:val="000000" w:themeColor="text1"/>
          <w:spacing w:val="0"/>
          <w:sz w:val="18"/>
          <w:szCs w:val="18"/>
          <w14:textFill>
            <w14:solidFill>
              <w14:schemeClr w14:val="tx1"/>
            </w14:solidFill>
          </w14:textFill>
        </w:rPr>
      </w:pPr>
      <w:r>
        <w:rPr>
          <w:rFonts w:hint="eastAsia" w:cs="宋体" w:asciiTheme="minorEastAsia" w:hAnsiTheme="minorEastAsia" w:eastAsiaTheme="minorEastAsia"/>
          <w:b/>
          <w:bCs/>
          <w:color w:val="000000" w:themeColor="text1"/>
          <w:spacing w:val="0"/>
          <w:sz w:val="18"/>
          <w:szCs w:val="18"/>
          <w14:textFill>
            <w14:solidFill>
              <w14:schemeClr w14:val="tx1"/>
            </w14:solidFill>
          </w14:textFill>
        </w:rPr>
        <w:t>五、服务内容和收费方式</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（一）本公司可向投资人提供以下服务：</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cs="宋体" w:asciiTheme="minorEastAsia" w:hAnsiTheme="minorEastAsia" w:eastAsiaTheme="minorEastAsia"/>
          <w:color w:val="000000" w:themeColor="text1"/>
          <w:spacing w:val="0"/>
          <w:sz w:val="18"/>
          <w:szCs w:val="18"/>
          <w14:textFill>
            <w14:solidFill>
              <w14:schemeClr w14:val="tx1"/>
            </w14:solidFill>
          </w14:textFill>
        </w:rPr>
        <w:t>1.对投资人的风险承受能力进行调查和评价。</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cs="宋体" w:asciiTheme="minorEastAsia" w:hAnsiTheme="minorEastAsia" w:eastAsiaTheme="minorEastAsia"/>
          <w:color w:val="000000" w:themeColor="text1"/>
          <w:spacing w:val="0"/>
          <w:sz w:val="18"/>
          <w:szCs w:val="18"/>
          <w14:textFill>
            <w14:solidFill>
              <w14:schemeClr w14:val="tx1"/>
            </w14:solidFill>
          </w14:textFill>
        </w:rPr>
        <w:t>2.基金销售业务，包括</w:t>
      </w:r>
      <w:r>
        <w:rPr>
          <w:rFonts w:hint="eastAsia" w:cs="宋体" w:asciiTheme="minorEastAsia" w:hAnsiTheme="minorEastAsia" w:eastAsiaTheme="minorEastAsia"/>
          <w:color w:val="000000" w:themeColor="text1"/>
          <w:spacing w:val="0"/>
          <w:sz w:val="18"/>
          <w:szCs w:val="18"/>
          <w14:textFill>
            <w14:solidFill>
              <w14:schemeClr w14:val="tx1"/>
            </w14:solidFill>
          </w14:textFill>
        </w:rPr>
        <w:t>账户开户、申（认）购、赎回、转换、定额定投、修改红方式等。我公司根据每只基金的发行公告及发布的其它相关公告收取相应的申（认）购、赎回费和转换费。</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cs="宋体" w:asciiTheme="minorEastAsia" w:hAnsiTheme="minorEastAsia" w:eastAsiaTheme="minorEastAsia"/>
          <w:color w:val="000000" w:themeColor="text1"/>
          <w:spacing w:val="0"/>
          <w:sz w:val="18"/>
          <w:szCs w:val="18"/>
          <w14:textFill>
            <w14:solidFill>
              <w14:schemeClr w14:val="tx1"/>
            </w14:solidFill>
          </w14:textFill>
        </w:rPr>
        <w:t>3.网上交易服务。</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cs="宋体" w:asciiTheme="minorEastAsia" w:hAnsiTheme="minorEastAsia" w:eastAsiaTheme="minorEastAsia"/>
          <w:color w:val="000000" w:themeColor="text1"/>
          <w:spacing w:val="0"/>
          <w:sz w:val="18"/>
          <w:szCs w:val="18"/>
          <w14:textFill>
            <w14:solidFill>
              <w14:schemeClr w14:val="tx1"/>
            </w14:solidFill>
          </w14:textFill>
        </w:rPr>
        <w:t>4.投资咨询服务</w:t>
      </w:r>
      <w:r>
        <w:rPr>
          <w:rFonts w:hint="eastAsia" w:cs="宋体" w:asciiTheme="minorEastAsia" w:hAnsiTheme="minorEastAsia" w:eastAsiaTheme="minorEastAsia"/>
          <w:color w:val="000000" w:themeColor="text1"/>
          <w:spacing w:val="0"/>
          <w:sz w:val="18"/>
          <w:szCs w:val="18"/>
          <w14:textFill>
            <w14:solidFill>
              <w14:schemeClr w14:val="tx1"/>
            </w14:solidFill>
          </w14:textFill>
        </w:rPr>
        <w:t>。</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cs="宋体" w:asciiTheme="minorEastAsia" w:hAnsiTheme="minorEastAsia" w:eastAsiaTheme="minorEastAsia"/>
          <w:color w:val="000000" w:themeColor="text1"/>
          <w:spacing w:val="0"/>
          <w:sz w:val="18"/>
          <w:szCs w:val="18"/>
          <w14:textFill>
            <w14:solidFill>
              <w14:schemeClr w14:val="tx1"/>
            </w14:solidFill>
          </w14:textFill>
        </w:rPr>
        <w:t>5.</w:t>
      </w:r>
      <w:r>
        <w:rPr>
          <w:rFonts w:hint="eastAsia" w:cs="宋体" w:asciiTheme="minorEastAsia" w:hAnsiTheme="minorEastAsia" w:eastAsiaTheme="minorEastAsia"/>
          <w:color w:val="000000" w:themeColor="text1"/>
          <w:spacing w:val="0"/>
          <w:sz w:val="18"/>
          <w:szCs w:val="18"/>
          <w14:textFill>
            <w14:solidFill>
              <w14:schemeClr w14:val="tx1"/>
            </w14:solidFill>
          </w14:textFill>
        </w:rPr>
        <w:t>按照投资人预留信息提供</w:t>
      </w:r>
      <w:r>
        <w:rPr>
          <w:rFonts w:cs="宋体" w:asciiTheme="minorEastAsia" w:hAnsiTheme="minorEastAsia" w:eastAsiaTheme="minorEastAsia"/>
          <w:color w:val="000000" w:themeColor="text1"/>
          <w:spacing w:val="0"/>
          <w:sz w:val="18"/>
          <w:szCs w:val="18"/>
          <w14:textFill>
            <w14:solidFill>
              <w14:schemeClr w14:val="tx1"/>
            </w14:solidFill>
          </w14:textFill>
        </w:rPr>
        <w:t>净值</w:t>
      </w:r>
      <w:r>
        <w:rPr>
          <w:rFonts w:hint="eastAsia" w:cs="宋体" w:asciiTheme="minorEastAsia" w:hAnsiTheme="minorEastAsia" w:eastAsiaTheme="minorEastAsia"/>
          <w:color w:val="000000" w:themeColor="text1"/>
          <w:spacing w:val="0"/>
          <w:sz w:val="18"/>
          <w:szCs w:val="18"/>
          <w14:textFill>
            <w14:solidFill>
              <w14:schemeClr w14:val="tx1"/>
            </w14:solidFill>
          </w14:textFill>
        </w:rPr>
        <w:t>提示</w:t>
      </w:r>
      <w:r>
        <w:rPr>
          <w:rFonts w:cs="宋体" w:asciiTheme="minorEastAsia" w:hAnsiTheme="minorEastAsia" w:eastAsiaTheme="minorEastAsia"/>
          <w:color w:val="000000" w:themeColor="text1"/>
          <w:spacing w:val="0"/>
          <w:sz w:val="18"/>
          <w:szCs w:val="18"/>
          <w14:textFill>
            <w14:solidFill>
              <w14:schemeClr w14:val="tx1"/>
            </w14:solidFill>
          </w14:textFill>
        </w:rPr>
        <w:t>、分红提示、交易确认等短信</w:t>
      </w:r>
      <w:r>
        <w:rPr>
          <w:rFonts w:hint="eastAsia" w:cs="宋体" w:asciiTheme="minorEastAsia" w:hAnsiTheme="minorEastAsia" w:eastAsiaTheme="minorEastAsia"/>
          <w:color w:val="000000" w:themeColor="text1"/>
          <w:spacing w:val="0"/>
          <w:sz w:val="18"/>
          <w:szCs w:val="18"/>
          <w14:textFill>
            <w14:solidFill>
              <w14:schemeClr w14:val="tx1"/>
            </w14:solidFill>
          </w14:textFill>
        </w:rPr>
        <w:t>或电子邮件</w:t>
      </w:r>
      <w:r>
        <w:rPr>
          <w:rFonts w:cs="宋体" w:asciiTheme="minorEastAsia" w:hAnsiTheme="minorEastAsia" w:eastAsiaTheme="minorEastAsia"/>
          <w:color w:val="000000" w:themeColor="text1"/>
          <w:spacing w:val="0"/>
          <w:sz w:val="18"/>
          <w:szCs w:val="18"/>
          <w14:textFill>
            <w14:solidFill>
              <w14:schemeClr w14:val="tx1"/>
            </w14:solidFill>
          </w14:textFill>
        </w:rPr>
        <w:t>服务</w:t>
      </w:r>
      <w:r>
        <w:rPr>
          <w:rFonts w:hint="eastAsia" w:cs="宋体" w:asciiTheme="minorEastAsia" w:hAnsiTheme="minorEastAsia" w:eastAsiaTheme="minorEastAsia"/>
          <w:color w:val="000000" w:themeColor="text1"/>
          <w:spacing w:val="0"/>
          <w:sz w:val="18"/>
          <w:szCs w:val="18"/>
          <w14:textFill>
            <w14:solidFill>
              <w14:schemeClr w14:val="tx1"/>
            </w14:solidFill>
          </w14:textFill>
        </w:rPr>
        <w:t>。</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cs="宋体" w:asciiTheme="minorEastAsia" w:hAnsiTheme="minorEastAsia" w:eastAsiaTheme="minorEastAsia"/>
          <w:color w:val="000000" w:themeColor="text1"/>
          <w:spacing w:val="0"/>
          <w:sz w:val="18"/>
          <w:szCs w:val="18"/>
          <w14:textFill>
            <w14:solidFill>
              <w14:schemeClr w14:val="tx1"/>
            </w14:solidFill>
          </w14:textFill>
        </w:rPr>
        <w:t>6.电话咨询</w:t>
      </w:r>
      <w:r>
        <w:rPr>
          <w:rFonts w:hint="eastAsia" w:cs="宋体" w:asciiTheme="minorEastAsia" w:hAnsiTheme="minorEastAsia" w:eastAsiaTheme="minorEastAsia"/>
          <w:color w:val="000000" w:themeColor="text1"/>
          <w:spacing w:val="0"/>
          <w:sz w:val="18"/>
          <w:szCs w:val="18"/>
          <w14:textFill>
            <w14:solidFill>
              <w14:schemeClr w14:val="tx1"/>
            </w14:solidFill>
          </w14:textFill>
        </w:rPr>
        <w:t>服务。</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cs="宋体" w:asciiTheme="minorEastAsia" w:hAnsiTheme="minorEastAsia" w:eastAsiaTheme="minorEastAsia"/>
          <w:color w:val="000000" w:themeColor="text1"/>
          <w:spacing w:val="0"/>
          <w:sz w:val="18"/>
          <w:szCs w:val="18"/>
          <w14:textFill>
            <w14:solidFill>
              <w14:schemeClr w14:val="tx1"/>
            </w14:solidFill>
          </w14:textFill>
        </w:rPr>
        <w:t>7. 基金/</w:t>
      </w:r>
      <w:r>
        <w:rPr>
          <w:rFonts w:hint="eastAsia" w:cs="宋体" w:asciiTheme="minorEastAsia" w:hAnsiTheme="minorEastAsia" w:eastAsiaTheme="minorEastAsia"/>
          <w:color w:val="000000" w:themeColor="text1"/>
          <w:spacing w:val="0"/>
          <w:sz w:val="18"/>
          <w:szCs w:val="18"/>
          <w14:textFill>
            <w14:solidFill>
              <w14:schemeClr w14:val="tx1"/>
            </w14:solidFill>
          </w14:textFill>
        </w:rPr>
        <w:t>资产管理计划知识普及和风险教育。</w:t>
      </w:r>
    </w:p>
    <w:p>
      <w:pPr>
        <w:spacing w:line="360" w:lineRule="exact"/>
        <w:ind w:firstLine="200"/>
        <w:rPr>
          <w:rFonts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（以上服务内容涉及收费的，各基金</w:t>
      </w:r>
      <w:r>
        <w:rPr>
          <w:rFonts w:cs="宋体" w:asciiTheme="minorEastAsia" w:hAnsiTheme="minorEastAsia" w:eastAsiaTheme="minorEastAsia"/>
          <w:color w:val="000000" w:themeColor="text1"/>
          <w:spacing w:val="0"/>
          <w:sz w:val="18"/>
          <w:szCs w:val="18"/>
          <w14:textFill>
            <w14:solidFill>
              <w14:schemeClr w14:val="tx1"/>
            </w14:solidFill>
          </w14:textFill>
        </w:rPr>
        <w:t>/</w:t>
      </w:r>
      <w:r>
        <w:rPr>
          <w:rFonts w:hint="eastAsia" w:cs="宋体" w:asciiTheme="minorEastAsia" w:hAnsiTheme="minorEastAsia" w:eastAsiaTheme="minorEastAsia"/>
          <w:color w:val="000000" w:themeColor="text1"/>
          <w:spacing w:val="0"/>
          <w:sz w:val="18"/>
          <w:szCs w:val="18"/>
          <w14:textFill>
            <w14:solidFill>
              <w14:schemeClr w14:val="tx1"/>
            </w14:solidFill>
          </w14:textFill>
        </w:rPr>
        <w:t>资产管理计划销售机构要明示收费方式）</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（二）收费标准</w:t>
      </w:r>
    </w:p>
    <w:p>
      <w:pPr>
        <w:spacing w:line="360" w:lineRule="exact"/>
        <w:ind w:firstLine="360" w:firstLineChars="200"/>
        <w:rPr>
          <w:rFonts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基金</w:t>
      </w:r>
      <w:r>
        <w:rPr>
          <w:rFonts w:cs="宋体" w:asciiTheme="minorEastAsia" w:hAnsiTheme="minorEastAsia" w:eastAsiaTheme="minorEastAsia"/>
          <w:color w:val="000000" w:themeColor="text1"/>
          <w:spacing w:val="0"/>
          <w:sz w:val="18"/>
          <w:szCs w:val="18"/>
          <w14:textFill>
            <w14:solidFill>
              <w14:schemeClr w14:val="tx1"/>
            </w14:solidFill>
          </w14:textFill>
        </w:rPr>
        <w:t>/</w:t>
      </w:r>
      <w:r>
        <w:rPr>
          <w:rFonts w:hint="eastAsia" w:cs="宋体" w:asciiTheme="minorEastAsia" w:hAnsiTheme="minorEastAsia" w:eastAsiaTheme="minorEastAsia"/>
          <w:color w:val="000000" w:themeColor="text1"/>
          <w:spacing w:val="0"/>
          <w:sz w:val="18"/>
          <w:szCs w:val="18"/>
          <w14:textFill>
            <w14:solidFill>
              <w14:schemeClr w14:val="tx1"/>
            </w14:solidFill>
          </w14:textFill>
        </w:rPr>
        <w:t>资产管理计划交易的相关费用参见本公司公布的公开法律文件。</w:t>
      </w:r>
    </w:p>
    <w:p>
      <w:pPr>
        <w:spacing w:line="360" w:lineRule="exact"/>
        <w:ind w:firstLine="360" w:firstLineChars="200"/>
        <w:rPr>
          <w:rFonts w:cs="宋体" w:asciiTheme="minorEastAsia" w:hAnsiTheme="minorEastAsia" w:eastAsiaTheme="minorEastAsia"/>
          <w:b/>
          <w:bCs/>
          <w:color w:val="000000" w:themeColor="text1"/>
          <w:spacing w:val="0"/>
          <w:sz w:val="18"/>
          <w:szCs w:val="18"/>
          <w14:textFill>
            <w14:solidFill>
              <w14:schemeClr w14:val="tx1"/>
            </w14:solidFill>
          </w14:textFill>
        </w:rPr>
      </w:pPr>
      <w:r>
        <w:rPr>
          <w:rFonts w:hint="eastAsia" w:cs="宋体" w:asciiTheme="minorEastAsia" w:hAnsiTheme="minorEastAsia" w:eastAsiaTheme="minorEastAsia"/>
          <w:b/>
          <w:bCs/>
          <w:color w:val="000000" w:themeColor="text1"/>
          <w:spacing w:val="0"/>
          <w:sz w:val="18"/>
          <w:szCs w:val="18"/>
          <w14:textFill>
            <w14:solidFill>
              <w14:schemeClr w14:val="tx1"/>
            </w14:solidFill>
          </w14:textFill>
        </w:rPr>
        <w:t>六、投诉处理和联系方式</w:t>
      </w:r>
    </w:p>
    <w:p>
      <w:pPr>
        <w:spacing w:line="360" w:lineRule="exact"/>
        <w:ind w:firstLine="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一）如果基金份额持有人对基金管理人提供的各项服务有疑问，可通过发送电子邮件、拨打客服热线等方式随时向基金管理人提出。基金管理人将及时处理基金份额持有人的投诉建议。基金管理人联系方式如下：</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网址：</w:t>
      </w:r>
      <w:r>
        <w:rPr>
          <w:rFonts w:asciiTheme="minorEastAsia" w:hAnsiTheme="minorEastAsia" w:eastAsiaTheme="minorEastAsia"/>
        </w:rPr>
        <w:t>http://www.founderff.com</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客户服务中心电话：400-818-0990（免长途话费）</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客户服务中心传真：010-</w:t>
      </w:r>
      <w:r>
        <w:rPr>
          <w:rFonts w:cs="宋体" w:asciiTheme="minorEastAsia" w:hAnsiTheme="minorEastAsia" w:eastAsiaTheme="minorEastAsia"/>
          <w:color w:val="000000" w:themeColor="text1"/>
          <w:spacing w:val="0"/>
          <w:sz w:val="18"/>
          <w:szCs w:val="18"/>
          <w14:textFill>
            <w14:solidFill>
              <w14:schemeClr w14:val="tx1"/>
            </w14:solidFill>
          </w14:textFill>
        </w:rPr>
        <w:t>57303716/3717</w:t>
      </w:r>
    </w:p>
    <w:p>
      <w:pPr>
        <w:spacing w:line="360" w:lineRule="exact"/>
        <w:ind w:firstLine="360" w:firstLineChars="200"/>
        <w:rPr>
          <w:color w:val="000000"/>
          <w:sz w:val="18"/>
          <w:szCs w:val="18"/>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客户服务中心地址：</w:t>
      </w:r>
      <w:r>
        <w:rPr>
          <w:rFonts w:hint="eastAsia"/>
          <w:color w:val="000000"/>
          <w:sz w:val="18"/>
          <w:szCs w:val="18"/>
        </w:rPr>
        <w:t>北京市朝阳区北四环中路27号院5号楼11层02-11房间 </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邮编：</w:t>
      </w:r>
      <w:r>
        <w:rPr>
          <w:rFonts w:cs="宋体" w:asciiTheme="minorEastAsia" w:hAnsiTheme="minorEastAsia" w:eastAsiaTheme="minorEastAsia"/>
          <w:color w:val="000000" w:themeColor="text1"/>
          <w:spacing w:val="0"/>
          <w:sz w:val="18"/>
          <w:szCs w:val="18"/>
          <w14:textFill>
            <w14:solidFill>
              <w14:schemeClr w14:val="tx1"/>
            </w14:solidFill>
          </w14:textFill>
        </w:rPr>
        <w:t>100101</w:t>
      </w:r>
    </w:p>
    <w:p>
      <w:pPr>
        <w:spacing w:line="360" w:lineRule="exact"/>
        <w:ind w:firstLine="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（二）投资人也可通过书信、传真、电子邮件等方式，向监管机构投诉。联系方式如下：</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中国证监会北京监管局：网址：</w:t>
      </w:r>
      <w:r>
        <w:rPr>
          <w:rFonts w:cs="宋体" w:asciiTheme="minorEastAsia" w:hAnsiTheme="minorEastAsia" w:eastAsiaTheme="minorEastAsia"/>
          <w:color w:val="000000" w:themeColor="text1"/>
          <w:spacing w:val="0"/>
          <w:sz w:val="18"/>
          <w:szCs w:val="18"/>
          <w14:textFill>
            <w14:solidFill>
              <w14:schemeClr w14:val="tx1"/>
            </w14:solidFill>
          </w14:textFill>
        </w:rPr>
        <w:t>http://www.csrc.gov.cn/pub/beijing/</w:t>
      </w:r>
      <w:r>
        <w:rPr>
          <w:rFonts w:hint="eastAsia" w:cs="宋体" w:asciiTheme="minorEastAsia" w:hAnsiTheme="minorEastAsia" w:eastAsiaTheme="minorEastAsia"/>
          <w:color w:val="000000" w:themeColor="text1"/>
          <w:spacing w:val="0"/>
          <w:sz w:val="18"/>
          <w:szCs w:val="18"/>
          <w14:textFill>
            <w14:solidFill>
              <w14:schemeClr w14:val="tx1"/>
            </w14:solidFill>
          </w14:textFill>
        </w:rPr>
        <w:t>，联系电话：</w:t>
      </w:r>
      <w:r>
        <w:rPr>
          <w:rFonts w:cs="宋体" w:asciiTheme="minorEastAsia" w:hAnsiTheme="minorEastAsia" w:eastAsiaTheme="minorEastAsia"/>
          <w:color w:val="000000" w:themeColor="text1"/>
          <w:spacing w:val="0"/>
          <w:sz w:val="18"/>
          <w:szCs w:val="18"/>
          <w14:textFill>
            <w14:solidFill>
              <w14:schemeClr w14:val="tx1"/>
            </w14:solidFill>
          </w14:textFill>
        </w:rPr>
        <w:t>010-88088086 ，传真：010-88088012 ，地址：北京市西城区金融大街26号金阳大厦6层，邮编：100033。</w:t>
      </w:r>
    </w:p>
    <w:p>
      <w:pPr>
        <w:spacing w:line="360" w:lineRule="exact"/>
        <w:ind w:firstLine="360" w:firstLineChars="200"/>
        <w:rPr>
          <w:rFonts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中国证券投资基金业协会：网址：</w:t>
      </w:r>
      <w:r>
        <w:rPr>
          <w:rFonts w:cs="宋体" w:asciiTheme="minorEastAsia" w:hAnsiTheme="minorEastAsia" w:eastAsiaTheme="minorEastAsia"/>
          <w:color w:val="000000" w:themeColor="text1"/>
          <w:spacing w:val="0"/>
          <w:sz w:val="18"/>
          <w:szCs w:val="18"/>
          <w14:textFill>
            <w14:solidFill>
              <w14:schemeClr w14:val="tx1"/>
            </w14:solidFill>
          </w14:textFill>
        </w:rPr>
        <w:t>www.amac.org.cn</w:t>
      </w:r>
      <w:r>
        <w:rPr>
          <w:rFonts w:hint="eastAsia" w:cs="宋体" w:asciiTheme="minorEastAsia" w:hAnsiTheme="minorEastAsia" w:eastAsiaTheme="minorEastAsia"/>
          <w:color w:val="000000" w:themeColor="text1"/>
          <w:spacing w:val="0"/>
          <w:sz w:val="18"/>
          <w:szCs w:val="18"/>
          <w14:textFill>
            <w14:solidFill>
              <w14:schemeClr w14:val="tx1"/>
            </w14:solidFill>
          </w14:textFill>
        </w:rPr>
        <w:t>，地址：北京市西城区金融大街</w:t>
      </w:r>
      <w:r>
        <w:rPr>
          <w:rFonts w:cs="宋体" w:asciiTheme="minorEastAsia" w:hAnsiTheme="minorEastAsia" w:eastAsiaTheme="minorEastAsia"/>
          <w:color w:val="000000" w:themeColor="text1"/>
          <w:spacing w:val="0"/>
          <w:sz w:val="18"/>
          <w:szCs w:val="18"/>
          <w14:textFill>
            <w14:solidFill>
              <w14:schemeClr w14:val="tx1"/>
            </w14:solidFill>
          </w14:textFill>
        </w:rPr>
        <w:t>20号交通银行大厦B座9层，邮编：100033</w:t>
      </w:r>
      <w:r>
        <w:rPr>
          <w:rFonts w:hint="eastAsia" w:asciiTheme="minorEastAsia" w:hAnsiTheme="minorEastAsia" w:eastAsiaTheme="minorEastAsia"/>
          <w:color w:val="000000" w:themeColor="text1"/>
          <w:spacing w:val="0"/>
          <w:sz w:val="18"/>
          <w:szCs w:val="18"/>
          <w14:textFill>
            <w14:solidFill>
              <w14:schemeClr w14:val="tx1"/>
            </w14:solidFill>
          </w14:textFill>
        </w:rPr>
        <w:t>。</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中国证券投资者保护基金有限责任公司：网址：</w:t>
      </w:r>
      <w:r>
        <w:rPr>
          <w:rFonts w:cs="宋体" w:asciiTheme="minorEastAsia" w:hAnsiTheme="minorEastAsia" w:eastAsiaTheme="minorEastAsia"/>
          <w:color w:val="000000" w:themeColor="text1"/>
          <w:spacing w:val="0"/>
          <w:sz w:val="18"/>
          <w:szCs w:val="18"/>
          <w14:textFill>
            <w14:solidFill>
              <w14:schemeClr w14:val="tx1"/>
            </w14:solidFill>
          </w14:textFill>
        </w:rPr>
        <w:t>http://www.sipf.com.cn/</w:t>
      </w:r>
      <w:r>
        <w:rPr>
          <w:rFonts w:hint="eastAsia" w:cs="宋体" w:asciiTheme="minorEastAsia" w:hAnsiTheme="minorEastAsia" w:eastAsiaTheme="minorEastAsia"/>
          <w:color w:val="000000" w:themeColor="text1"/>
          <w:spacing w:val="0"/>
          <w:sz w:val="18"/>
          <w:szCs w:val="18"/>
          <w14:textFill>
            <w14:solidFill>
              <w14:schemeClr w14:val="tx1"/>
            </w14:solidFill>
          </w14:textFill>
        </w:rPr>
        <w:t>，联系电话：</w:t>
      </w:r>
      <w:r>
        <w:rPr>
          <w:rFonts w:cs="宋体" w:asciiTheme="minorEastAsia" w:hAnsiTheme="minorEastAsia" w:eastAsiaTheme="minorEastAsia"/>
          <w:color w:val="000000" w:themeColor="text1"/>
          <w:spacing w:val="0"/>
          <w:sz w:val="18"/>
          <w:szCs w:val="18"/>
          <w14:textFill>
            <w14:solidFill>
              <w14:schemeClr w14:val="tx1"/>
            </w14:solidFill>
          </w14:textFill>
        </w:rPr>
        <w:t>010-66580883</w:t>
      </w:r>
      <w:r>
        <w:rPr>
          <w:rFonts w:hint="eastAsia" w:cs="宋体" w:asciiTheme="minorEastAsia" w:hAnsiTheme="minorEastAsia" w:eastAsiaTheme="minorEastAsia"/>
          <w:color w:val="000000" w:themeColor="text1"/>
          <w:spacing w:val="0"/>
          <w:sz w:val="18"/>
          <w:szCs w:val="18"/>
          <w14:textFill>
            <w14:solidFill>
              <w14:schemeClr w14:val="tx1"/>
            </w14:solidFill>
          </w14:textFill>
        </w:rPr>
        <w:t>，投资者热线：</w:t>
      </w:r>
      <w:r>
        <w:rPr>
          <w:rFonts w:cs="宋体" w:asciiTheme="minorEastAsia" w:hAnsiTheme="minorEastAsia" w:eastAsiaTheme="minorEastAsia"/>
          <w:color w:val="000000" w:themeColor="text1"/>
          <w:spacing w:val="0"/>
          <w:sz w:val="18"/>
          <w:szCs w:val="18"/>
          <w14:textFill>
            <w14:solidFill>
              <w14:schemeClr w14:val="tx1"/>
            </w14:solidFill>
          </w14:textFill>
        </w:rPr>
        <w:t>12386</w:t>
      </w:r>
      <w:r>
        <w:rPr>
          <w:rFonts w:hint="eastAsia" w:cs="宋体" w:asciiTheme="minorEastAsia" w:hAnsiTheme="minorEastAsia" w:eastAsiaTheme="minorEastAsia"/>
          <w:color w:val="000000" w:themeColor="text1"/>
          <w:spacing w:val="0"/>
          <w:sz w:val="18"/>
          <w:szCs w:val="18"/>
          <w14:textFill>
            <w14:solidFill>
              <w14:schemeClr w14:val="tx1"/>
            </w14:solidFill>
          </w14:textFill>
        </w:rPr>
        <w:t>，地址：北京西城区金融大街</w:t>
      </w:r>
      <w:r>
        <w:rPr>
          <w:rFonts w:cs="宋体" w:asciiTheme="minorEastAsia" w:hAnsiTheme="minorEastAsia" w:eastAsiaTheme="minorEastAsia"/>
          <w:color w:val="000000" w:themeColor="text1"/>
          <w:spacing w:val="0"/>
          <w:sz w:val="18"/>
          <w:szCs w:val="18"/>
          <w14:textFill>
            <w14:solidFill>
              <w14:schemeClr w14:val="tx1"/>
            </w14:solidFill>
          </w14:textFill>
        </w:rPr>
        <w:t>5号新盛大厦B座22层，邮编：100033。</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Arial" w:asciiTheme="minorEastAsia" w:hAnsiTheme="minorEastAsia" w:eastAsiaTheme="minorEastAsia"/>
          <w:color w:val="000000" w:themeColor="text1"/>
          <w:spacing w:val="0"/>
          <w:sz w:val="18"/>
          <w:szCs w:val="18"/>
          <w14:textFill>
            <w14:solidFill>
              <w14:schemeClr w14:val="tx1"/>
            </w14:solidFill>
          </w14:textFill>
        </w:rPr>
        <w:t>（三）因基金</w:t>
      </w:r>
      <w:r>
        <w:rPr>
          <w:rFonts w:cs="Arial" w:asciiTheme="minorEastAsia" w:hAnsiTheme="minorEastAsia" w:eastAsiaTheme="minorEastAsia"/>
          <w:color w:val="000000" w:themeColor="text1"/>
          <w:spacing w:val="0"/>
          <w:sz w:val="18"/>
          <w:szCs w:val="18"/>
          <w14:textFill>
            <w14:solidFill>
              <w14:schemeClr w14:val="tx1"/>
            </w14:solidFill>
          </w14:textFill>
        </w:rPr>
        <w:t>/</w:t>
      </w:r>
      <w:r>
        <w:rPr>
          <w:rFonts w:hint="eastAsia" w:cs="Arial" w:asciiTheme="minorEastAsia" w:hAnsiTheme="minorEastAsia" w:eastAsiaTheme="minorEastAsia"/>
          <w:color w:val="000000" w:themeColor="text1"/>
          <w:spacing w:val="0"/>
          <w:sz w:val="18"/>
          <w:szCs w:val="18"/>
          <w14:textFill>
            <w14:solidFill>
              <w14:schemeClr w14:val="tx1"/>
            </w14:solidFill>
          </w14:textFill>
        </w:rPr>
        <w:t>资产管理计划合同而产生的或与基金</w:t>
      </w:r>
      <w:r>
        <w:rPr>
          <w:rFonts w:cs="Arial" w:asciiTheme="minorEastAsia" w:hAnsiTheme="minorEastAsia" w:eastAsiaTheme="minorEastAsia"/>
          <w:color w:val="000000" w:themeColor="text1"/>
          <w:spacing w:val="0"/>
          <w:sz w:val="18"/>
          <w:szCs w:val="18"/>
          <w14:textFill>
            <w14:solidFill>
              <w14:schemeClr w14:val="tx1"/>
            </w14:solidFill>
          </w14:textFill>
        </w:rPr>
        <w:t>/</w:t>
      </w:r>
      <w:r>
        <w:rPr>
          <w:rFonts w:hint="eastAsia" w:cs="Arial" w:asciiTheme="minorEastAsia" w:hAnsiTheme="minorEastAsia" w:eastAsiaTheme="minorEastAsia"/>
          <w:color w:val="000000" w:themeColor="text1"/>
          <w:spacing w:val="0"/>
          <w:sz w:val="18"/>
          <w:szCs w:val="18"/>
          <w14:textFill>
            <w14:solidFill>
              <w14:schemeClr w14:val="tx1"/>
            </w14:solidFill>
          </w14:textFill>
        </w:rPr>
        <w:t>资产管理计划合同有关的一切争议，如经协商或调解不能解决的，投资人可提交中国国际经济贸易仲裁委员会根据当时有效的仲裁规则进行仲裁。仲裁地点为基金</w:t>
      </w:r>
      <w:r>
        <w:rPr>
          <w:rFonts w:cs="Arial" w:asciiTheme="minorEastAsia" w:hAnsiTheme="minorEastAsia" w:eastAsiaTheme="minorEastAsia"/>
          <w:color w:val="000000" w:themeColor="text1"/>
          <w:spacing w:val="0"/>
          <w:sz w:val="18"/>
          <w:szCs w:val="18"/>
          <w14:textFill>
            <w14:solidFill>
              <w14:schemeClr w14:val="tx1"/>
            </w14:solidFill>
          </w14:textFill>
        </w:rPr>
        <w:t>/</w:t>
      </w:r>
      <w:r>
        <w:rPr>
          <w:rFonts w:hint="eastAsia" w:cs="Arial" w:asciiTheme="minorEastAsia" w:hAnsiTheme="minorEastAsia" w:eastAsiaTheme="minorEastAsia"/>
          <w:color w:val="000000" w:themeColor="text1"/>
          <w:spacing w:val="0"/>
          <w:sz w:val="18"/>
          <w:szCs w:val="18"/>
          <w14:textFill>
            <w14:solidFill>
              <w14:schemeClr w14:val="tx1"/>
            </w14:solidFill>
          </w14:textFill>
        </w:rPr>
        <w:t>资产管理计划合同约定的地点。仲裁裁决是终局的，对各方当事人均有约束力。</w:t>
      </w:r>
    </w:p>
    <w:p>
      <w:pPr>
        <w:spacing w:line="360" w:lineRule="exact"/>
        <w:ind w:firstLine="360" w:firstLineChars="200"/>
        <w:rPr>
          <w:rFonts w:cs="宋体" w:asciiTheme="minorEastAsia" w:hAnsiTheme="minorEastAsia" w:eastAsiaTheme="minorEastAsia"/>
          <w:b/>
          <w:bCs/>
          <w:color w:val="000000" w:themeColor="text1"/>
          <w:spacing w:val="0"/>
          <w:sz w:val="18"/>
          <w:szCs w:val="18"/>
          <w14:textFill>
            <w14:solidFill>
              <w14:schemeClr w14:val="tx1"/>
            </w14:solidFill>
          </w14:textFill>
        </w:rPr>
      </w:pPr>
      <w:r>
        <w:rPr>
          <w:rFonts w:hint="eastAsia" w:cs="宋体" w:asciiTheme="minorEastAsia" w:hAnsiTheme="minorEastAsia" w:eastAsiaTheme="minorEastAsia"/>
          <w:b/>
          <w:color w:val="000000" w:themeColor="text1"/>
          <w:spacing w:val="0"/>
          <w:sz w:val="18"/>
          <w:szCs w:val="18"/>
          <w14:textFill>
            <w14:solidFill>
              <w14:schemeClr w14:val="tx1"/>
            </w14:solidFill>
          </w14:textFill>
        </w:rPr>
        <w:t>七</w:t>
      </w:r>
      <w:r>
        <w:rPr>
          <w:rFonts w:hint="eastAsia" w:cs="宋体" w:asciiTheme="minorEastAsia" w:hAnsiTheme="minorEastAsia" w:eastAsiaTheme="minorEastAsia"/>
          <w:b/>
          <w:bCs/>
          <w:color w:val="000000" w:themeColor="text1"/>
          <w:spacing w:val="0"/>
          <w:sz w:val="18"/>
          <w:szCs w:val="18"/>
          <w14:textFill>
            <w14:solidFill>
              <w14:schemeClr w14:val="tx1"/>
            </w14:solidFill>
          </w14:textFill>
        </w:rPr>
        <w:t>、投资风险提示</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（一）基金是一种长期投资工具，其主要功能是分散投资，降低投资单一证券所带来的个别风险。</w:t>
      </w:r>
      <w:r>
        <w:rPr>
          <w:rFonts w:hint="eastAsia" w:asciiTheme="minorEastAsia" w:hAnsiTheme="minorEastAsia" w:eastAsiaTheme="minorEastAsia"/>
          <w:color w:val="000000" w:themeColor="text1"/>
          <w:spacing w:val="0"/>
          <w:sz w:val="18"/>
          <w:szCs w:val="18"/>
          <w:lang w:val="zh-CN"/>
          <w14:textFill>
            <w14:solidFill>
              <w14:schemeClr w14:val="tx1"/>
            </w14:solidFill>
          </w14:textFill>
        </w:rPr>
        <w:t>资产管理计划是</w:t>
      </w:r>
      <w:r>
        <w:rPr>
          <w:rFonts w:hint="eastAsia" w:asciiTheme="minorEastAsia" w:hAnsiTheme="minorEastAsia" w:eastAsiaTheme="minorEastAsia"/>
          <w:color w:val="000000" w:themeColor="text1"/>
          <w:spacing w:val="0"/>
          <w:sz w:val="18"/>
          <w:szCs w:val="18"/>
          <w14:textFill>
            <w14:solidFill>
              <w14:schemeClr w14:val="tx1"/>
            </w14:solidFill>
          </w14:textFill>
        </w:rPr>
        <w:t>照《计划合同》的约定进行投资活动，风险收益特征按不同的投资标的及资产管理计划的不同结构而不同。</w:t>
      </w:r>
      <w:r>
        <w:rPr>
          <w:rFonts w:hint="eastAsia" w:asciiTheme="minorEastAsia" w:hAnsiTheme="minorEastAsia" w:eastAsiaTheme="minorEastAsia"/>
          <w:color w:val="000000" w:themeColor="text1"/>
          <w:spacing w:val="0"/>
          <w:sz w:val="18"/>
          <w:szCs w:val="18"/>
          <w:lang w:val="zh-CN"/>
          <w14:textFill>
            <w14:solidFill>
              <w14:schemeClr w14:val="tx1"/>
            </w14:solidFill>
          </w14:textFill>
        </w:rPr>
        <w:t>基金</w:t>
      </w:r>
      <w:r>
        <w:rPr>
          <w:rFonts w:asciiTheme="minorEastAsia" w:hAnsiTheme="minorEastAsia" w:eastAsiaTheme="minorEastAsia"/>
          <w:color w:val="000000" w:themeColor="text1"/>
          <w:spacing w:val="0"/>
          <w:sz w:val="18"/>
          <w:szCs w:val="18"/>
          <w:lang w:val="zh-CN"/>
          <w14:textFill>
            <w14:solidFill>
              <w14:schemeClr w14:val="tx1"/>
            </w14:solidFill>
          </w14:textFill>
        </w:rPr>
        <w:t>/</w:t>
      </w:r>
      <w:r>
        <w:rPr>
          <w:rFonts w:hint="eastAsia" w:asciiTheme="minorEastAsia" w:hAnsiTheme="minorEastAsia" w:eastAsiaTheme="minorEastAsia"/>
          <w:color w:val="000000" w:themeColor="text1"/>
          <w:spacing w:val="0"/>
          <w:sz w:val="18"/>
          <w:szCs w:val="18"/>
          <w:lang w:val="zh-CN"/>
          <w14:textFill>
            <w14:solidFill>
              <w14:schemeClr w14:val="tx1"/>
            </w14:solidFill>
          </w14:textFill>
        </w:rPr>
        <w:t>资产管理计划</w:t>
      </w:r>
      <w:r>
        <w:rPr>
          <w:rFonts w:hint="eastAsia" w:cs="宋体" w:asciiTheme="minorEastAsia" w:hAnsiTheme="minorEastAsia" w:eastAsiaTheme="minorEastAsia"/>
          <w:color w:val="000000" w:themeColor="text1"/>
          <w:spacing w:val="0"/>
          <w:sz w:val="18"/>
          <w:szCs w:val="18"/>
          <w14:textFill>
            <w14:solidFill>
              <w14:schemeClr w14:val="tx1"/>
            </w14:solidFill>
          </w14:textFill>
        </w:rPr>
        <w:t>不同于银行储蓄和债券等能够提供固定收益预期的金融工具，投资人购买</w:t>
      </w:r>
      <w:r>
        <w:rPr>
          <w:rFonts w:hint="eastAsia" w:asciiTheme="minorEastAsia" w:hAnsiTheme="minorEastAsia" w:eastAsiaTheme="minorEastAsia"/>
          <w:color w:val="000000" w:themeColor="text1"/>
          <w:spacing w:val="0"/>
          <w:sz w:val="18"/>
          <w:szCs w:val="18"/>
          <w:lang w:val="zh-CN"/>
          <w14:textFill>
            <w14:solidFill>
              <w14:schemeClr w14:val="tx1"/>
            </w14:solidFill>
          </w14:textFill>
        </w:rPr>
        <w:t>基金</w:t>
      </w:r>
      <w:r>
        <w:rPr>
          <w:rFonts w:asciiTheme="minorEastAsia" w:hAnsiTheme="minorEastAsia" w:eastAsiaTheme="minorEastAsia"/>
          <w:color w:val="000000" w:themeColor="text1"/>
          <w:spacing w:val="0"/>
          <w:sz w:val="18"/>
          <w:szCs w:val="18"/>
          <w:lang w:val="zh-CN"/>
          <w14:textFill>
            <w14:solidFill>
              <w14:schemeClr w14:val="tx1"/>
            </w14:solidFill>
          </w14:textFill>
        </w:rPr>
        <w:t>/</w:t>
      </w:r>
      <w:r>
        <w:rPr>
          <w:rFonts w:hint="eastAsia" w:asciiTheme="minorEastAsia" w:hAnsiTheme="minorEastAsia" w:eastAsiaTheme="minorEastAsia"/>
          <w:color w:val="000000" w:themeColor="text1"/>
          <w:spacing w:val="0"/>
          <w:sz w:val="18"/>
          <w:szCs w:val="18"/>
          <w:lang w:val="zh-CN"/>
          <w14:textFill>
            <w14:solidFill>
              <w14:schemeClr w14:val="tx1"/>
            </w14:solidFill>
          </w14:textFill>
        </w:rPr>
        <w:t>资产管理计划</w:t>
      </w:r>
      <w:r>
        <w:rPr>
          <w:rFonts w:hint="eastAsia" w:cs="宋体" w:asciiTheme="minorEastAsia" w:hAnsiTheme="minorEastAsia" w:eastAsiaTheme="minorEastAsia"/>
          <w:color w:val="000000" w:themeColor="text1"/>
          <w:spacing w:val="0"/>
          <w:sz w:val="18"/>
          <w:szCs w:val="18"/>
          <w14:textFill>
            <w14:solidFill>
              <w14:schemeClr w14:val="tx1"/>
            </w14:solidFill>
          </w14:textFill>
        </w:rPr>
        <w:t>，既可能按其持有份额分享</w:t>
      </w:r>
      <w:r>
        <w:rPr>
          <w:rFonts w:hint="eastAsia" w:asciiTheme="minorEastAsia" w:hAnsiTheme="minorEastAsia" w:eastAsiaTheme="minorEastAsia"/>
          <w:color w:val="000000" w:themeColor="text1"/>
          <w:spacing w:val="0"/>
          <w:sz w:val="18"/>
          <w:szCs w:val="18"/>
          <w:lang w:val="zh-CN"/>
          <w14:textFill>
            <w14:solidFill>
              <w14:schemeClr w14:val="tx1"/>
            </w14:solidFill>
          </w14:textFill>
        </w:rPr>
        <w:t>基金</w:t>
      </w:r>
      <w:r>
        <w:rPr>
          <w:rFonts w:asciiTheme="minorEastAsia" w:hAnsiTheme="minorEastAsia" w:eastAsiaTheme="minorEastAsia"/>
          <w:color w:val="000000" w:themeColor="text1"/>
          <w:spacing w:val="0"/>
          <w:sz w:val="18"/>
          <w:szCs w:val="18"/>
          <w:lang w:val="zh-CN"/>
          <w14:textFill>
            <w14:solidFill>
              <w14:schemeClr w14:val="tx1"/>
            </w14:solidFill>
          </w14:textFill>
        </w:rPr>
        <w:t>/</w:t>
      </w:r>
      <w:r>
        <w:rPr>
          <w:rFonts w:hint="eastAsia" w:asciiTheme="minorEastAsia" w:hAnsiTheme="minorEastAsia" w:eastAsiaTheme="minorEastAsia"/>
          <w:color w:val="000000" w:themeColor="text1"/>
          <w:spacing w:val="0"/>
          <w:sz w:val="18"/>
          <w:szCs w:val="18"/>
          <w:lang w:val="zh-CN"/>
          <w14:textFill>
            <w14:solidFill>
              <w14:schemeClr w14:val="tx1"/>
            </w14:solidFill>
          </w14:textFill>
        </w:rPr>
        <w:t>资产管理计划</w:t>
      </w:r>
      <w:r>
        <w:rPr>
          <w:rFonts w:hint="eastAsia" w:cs="宋体" w:asciiTheme="minorEastAsia" w:hAnsiTheme="minorEastAsia" w:eastAsiaTheme="minorEastAsia"/>
          <w:color w:val="000000" w:themeColor="text1"/>
          <w:spacing w:val="0"/>
          <w:sz w:val="18"/>
          <w:szCs w:val="18"/>
          <w14:textFill>
            <w14:solidFill>
              <w14:schemeClr w14:val="tx1"/>
            </w14:solidFill>
          </w14:textFill>
        </w:rPr>
        <w:t>投资所产生的收益，也可能承担</w:t>
      </w:r>
      <w:r>
        <w:rPr>
          <w:rFonts w:hint="eastAsia" w:asciiTheme="minorEastAsia" w:hAnsiTheme="minorEastAsia" w:eastAsiaTheme="minorEastAsia"/>
          <w:color w:val="000000" w:themeColor="text1"/>
          <w:spacing w:val="0"/>
          <w:sz w:val="18"/>
          <w:szCs w:val="18"/>
          <w:lang w:val="zh-CN"/>
          <w14:textFill>
            <w14:solidFill>
              <w14:schemeClr w14:val="tx1"/>
            </w14:solidFill>
          </w14:textFill>
        </w:rPr>
        <w:t>基金</w:t>
      </w:r>
      <w:r>
        <w:rPr>
          <w:rFonts w:asciiTheme="minorEastAsia" w:hAnsiTheme="minorEastAsia" w:eastAsiaTheme="minorEastAsia"/>
          <w:color w:val="000000" w:themeColor="text1"/>
          <w:spacing w:val="0"/>
          <w:sz w:val="18"/>
          <w:szCs w:val="18"/>
          <w:lang w:val="zh-CN"/>
          <w14:textFill>
            <w14:solidFill>
              <w14:schemeClr w14:val="tx1"/>
            </w14:solidFill>
          </w14:textFill>
        </w:rPr>
        <w:t>/</w:t>
      </w:r>
      <w:r>
        <w:rPr>
          <w:rFonts w:hint="eastAsia" w:asciiTheme="minorEastAsia" w:hAnsiTheme="minorEastAsia" w:eastAsiaTheme="minorEastAsia"/>
          <w:color w:val="000000" w:themeColor="text1"/>
          <w:spacing w:val="0"/>
          <w:sz w:val="18"/>
          <w:szCs w:val="18"/>
          <w:lang w:val="zh-CN"/>
          <w14:textFill>
            <w14:solidFill>
              <w14:schemeClr w14:val="tx1"/>
            </w14:solidFill>
          </w14:textFill>
        </w:rPr>
        <w:t>资产管理计划</w:t>
      </w:r>
      <w:r>
        <w:rPr>
          <w:rFonts w:hint="eastAsia" w:cs="宋体" w:asciiTheme="minorEastAsia" w:hAnsiTheme="minorEastAsia" w:eastAsiaTheme="minorEastAsia"/>
          <w:color w:val="000000" w:themeColor="text1"/>
          <w:spacing w:val="0"/>
          <w:sz w:val="18"/>
          <w:szCs w:val="18"/>
          <w14:textFill>
            <w14:solidFill>
              <w14:schemeClr w14:val="tx1"/>
            </w14:solidFill>
          </w14:textFill>
        </w:rPr>
        <w:t>投资所带来的损失。</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（二）基金</w:t>
      </w:r>
      <w:r>
        <w:rPr>
          <w:rFonts w:cs="宋体" w:asciiTheme="minorEastAsia" w:hAnsiTheme="minorEastAsia" w:eastAsiaTheme="minorEastAsia"/>
          <w:color w:val="000000" w:themeColor="text1"/>
          <w:spacing w:val="0"/>
          <w:sz w:val="18"/>
          <w:szCs w:val="18"/>
          <w14:textFill>
            <w14:solidFill>
              <w14:schemeClr w14:val="tx1"/>
            </w14:solidFill>
          </w14:textFill>
        </w:rPr>
        <w:t>/</w:t>
      </w:r>
      <w:r>
        <w:rPr>
          <w:rFonts w:hint="eastAsia" w:cs="宋体" w:asciiTheme="minorEastAsia" w:hAnsiTheme="minorEastAsia" w:eastAsiaTheme="minorEastAsia"/>
          <w:color w:val="000000" w:themeColor="text1"/>
          <w:spacing w:val="0"/>
          <w:sz w:val="18"/>
          <w:szCs w:val="18"/>
          <w14:textFill>
            <w14:solidFill>
              <w14:schemeClr w14:val="tx1"/>
            </w14:solidFill>
          </w14:textFill>
        </w:rPr>
        <w:t>资产管理计划在投资运作过程中可能面临各种风险，既包括市场风险，也包括</w:t>
      </w:r>
      <w:r>
        <w:rPr>
          <w:rFonts w:hint="eastAsia" w:asciiTheme="minorEastAsia" w:hAnsiTheme="minorEastAsia" w:eastAsiaTheme="minorEastAsia"/>
          <w:color w:val="000000" w:themeColor="text1"/>
          <w:spacing w:val="0"/>
          <w:sz w:val="18"/>
          <w:szCs w:val="18"/>
          <w:lang w:val="zh-CN"/>
          <w14:textFill>
            <w14:solidFill>
              <w14:schemeClr w14:val="tx1"/>
            </w14:solidFill>
          </w14:textFill>
        </w:rPr>
        <w:t>基金</w:t>
      </w:r>
      <w:r>
        <w:rPr>
          <w:rFonts w:asciiTheme="minorEastAsia" w:hAnsiTheme="minorEastAsia" w:eastAsiaTheme="minorEastAsia"/>
          <w:color w:val="000000" w:themeColor="text1"/>
          <w:spacing w:val="0"/>
          <w:sz w:val="18"/>
          <w:szCs w:val="18"/>
          <w:lang w:val="zh-CN"/>
          <w14:textFill>
            <w14:solidFill>
              <w14:schemeClr w14:val="tx1"/>
            </w14:solidFill>
          </w14:textFill>
        </w:rPr>
        <w:t>/</w:t>
      </w:r>
      <w:r>
        <w:rPr>
          <w:rFonts w:hint="eastAsia" w:asciiTheme="minorEastAsia" w:hAnsiTheme="minorEastAsia" w:eastAsiaTheme="minorEastAsia"/>
          <w:color w:val="000000" w:themeColor="text1"/>
          <w:spacing w:val="0"/>
          <w:sz w:val="18"/>
          <w:szCs w:val="18"/>
          <w:lang w:val="zh-CN"/>
          <w14:textFill>
            <w14:solidFill>
              <w14:schemeClr w14:val="tx1"/>
            </w14:solidFill>
          </w14:textFill>
        </w:rPr>
        <w:t>资产管理计划</w:t>
      </w:r>
      <w:r>
        <w:rPr>
          <w:rFonts w:hint="eastAsia" w:cs="宋体" w:asciiTheme="minorEastAsia" w:hAnsiTheme="minorEastAsia" w:eastAsiaTheme="minorEastAsia"/>
          <w:color w:val="000000" w:themeColor="text1"/>
          <w:spacing w:val="0"/>
          <w:sz w:val="18"/>
          <w:szCs w:val="18"/>
          <w14:textFill>
            <w14:solidFill>
              <w14:schemeClr w14:val="tx1"/>
            </w14:solidFill>
          </w14:textFill>
        </w:rPr>
        <w:t>自身的管理风险、技术风险和合规风险等。巨额赎回风险是开放式基金所特有的一种风险，即当单个交易日基金的净赎回申请超过基金总份额的百分之十时，投资人将可能无法及时赎回持有的全部基金份额。基金</w:t>
      </w:r>
      <w:r>
        <w:rPr>
          <w:rFonts w:cs="宋体" w:asciiTheme="minorEastAsia" w:hAnsiTheme="minorEastAsia" w:eastAsiaTheme="minorEastAsia"/>
          <w:color w:val="000000" w:themeColor="text1"/>
          <w:spacing w:val="0"/>
          <w:sz w:val="18"/>
          <w:szCs w:val="18"/>
          <w14:textFill>
            <w14:solidFill>
              <w14:schemeClr w14:val="tx1"/>
            </w14:solidFill>
          </w14:textFill>
        </w:rPr>
        <w:t>/</w:t>
      </w:r>
      <w:r>
        <w:rPr>
          <w:rFonts w:hint="eastAsia" w:cs="宋体" w:asciiTheme="minorEastAsia" w:hAnsiTheme="minorEastAsia" w:eastAsiaTheme="minorEastAsia"/>
          <w:color w:val="000000" w:themeColor="text1"/>
          <w:spacing w:val="0"/>
          <w:sz w:val="18"/>
          <w:szCs w:val="18"/>
          <w14:textFill>
            <w14:solidFill>
              <w14:schemeClr w14:val="tx1"/>
            </w14:solidFill>
          </w14:textFill>
        </w:rPr>
        <w:t>资产管理计划的特有风险详见招募说明书及合同。</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三）投资人应当充分了解基金定期定额投资和零存整取等储蓄方式的区别。定期定额投资是引导投资人进行长期投资、平均投资成本的一种简单易行的投资方式，但并不能规避基金投资所固有的风险，不能保证投资人获得收益，也不是替代储蓄的等效理财方式。</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（四）</w:t>
      </w:r>
      <w:r>
        <w:rPr>
          <w:rFonts w:hint="eastAsia" w:asciiTheme="minorEastAsia" w:hAnsiTheme="minorEastAsia" w:eastAsiaTheme="minorEastAsia"/>
          <w:color w:val="000000" w:themeColor="text1"/>
          <w:spacing w:val="0"/>
          <w:sz w:val="18"/>
          <w:szCs w:val="18"/>
          <w:lang w:val="zh-CN"/>
          <w14:textFill>
            <w14:solidFill>
              <w14:schemeClr w14:val="tx1"/>
            </w14:solidFill>
          </w14:textFill>
        </w:rPr>
        <w:t>基金</w:t>
      </w:r>
      <w:r>
        <w:rPr>
          <w:rFonts w:hint="eastAsia" w:cs="宋体" w:asciiTheme="minorEastAsia" w:hAnsiTheme="minorEastAsia" w:eastAsiaTheme="minorEastAsia"/>
          <w:color w:val="000000" w:themeColor="text1"/>
          <w:spacing w:val="0"/>
          <w:sz w:val="18"/>
          <w:szCs w:val="18"/>
          <w14:textFill>
            <w14:solidFill>
              <w14:schemeClr w14:val="tx1"/>
            </w14:solidFill>
          </w14:textFill>
        </w:rPr>
        <w:t>管理人承诺投资人利益优先，承诺以诚实守信、勤勉尽责的原则管理和运用</w:t>
      </w:r>
      <w:r>
        <w:rPr>
          <w:rFonts w:hint="eastAsia" w:asciiTheme="minorEastAsia" w:hAnsiTheme="minorEastAsia" w:eastAsiaTheme="minorEastAsia"/>
          <w:color w:val="000000" w:themeColor="text1"/>
          <w:spacing w:val="0"/>
          <w:sz w:val="18"/>
          <w:szCs w:val="18"/>
          <w:lang w:val="zh-CN"/>
          <w14:textFill>
            <w14:solidFill>
              <w14:schemeClr w14:val="tx1"/>
            </w14:solidFill>
          </w14:textFill>
        </w:rPr>
        <w:t>基金</w:t>
      </w:r>
      <w:r>
        <w:rPr>
          <w:rFonts w:asciiTheme="minorEastAsia" w:hAnsiTheme="minorEastAsia" w:eastAsiaTheme="minorEastAsia"/>
          <w:color w:val="000000" w:themeColor="text1"/>
          <w:spacing w:val="0"/>
          <w:sz w:val="18"/>
          <w:szCs w:val="18"/>
          <w:lang w:val="zh-CN"/>
          <w14:textFill>
            <w14:solidFill>
              <w14:schemeClr w14:val="tx1"/>
            </w14:solidFill>
          </w14:textFill>
        </w:rPr>
        <w:t>/</w:t>
      </w:r>
      <w:r>
        <w:rPr>
          <w:rFonts w:hint="eastAsia" w:asciiTheme="minorEastAsia" w:hAnsiTheme="minorEastAsia" w:eastAsiaTheme="minorEastAsia"/>
          <w:color w:val="000000" w:themeColor="text1"/>
          <w:spacing w:val="0"/>
          <w:sz w:val="18"/>
          <w:szCs w:val="18"/>
          <w:lang w:val="zh-CN"/>
          <w14:textFill>
            <w14:solidFill>
              <w14:schemeClr w14:val="tx1"/>
            </w14:solidFill>
          </w14:textFill>
        </w:rPr>
        <w:t>资产管理计划</w:t>
      </w:r>
      <w:r>
        <w:rPr>
          <w:rFonts w:hint="eastAsia" w:cs="宋体" w:asciiTheme="minorEastAsia" w:hAnsiTheme="minorEastAsia" w:eastAsiaTheme="minorEastAsia"/>
          <w:color w:val="000000" w:themeColor="text1"/>
          <w:spacing w:val="0"/>
          <w:sz w:val="18"/>
          <w:szCs w:val="18"/>
          <w14:textFill>
            <w14:solidFill>
              <w14:schemeClr w14:val="tx1"/>
            </w14:solidFill>
          </w14:textFill>
        </w:rPr>
        <w:t>资产，但不保证一定盈利，也不保证最低收益。</w:t>
      </w:r>
      <w:r>
        <w:rPr>
          <w:rFonts w:hint="eastAsia" w:asciiTheme="minorEastAsia" w:hAnsiTheme="minorEastAsia" w:eastAsiaTheme="minorEastAsia"/>
          <w:color w:val="000000" w:themeColor="text1"/>
          <w:spacing w:val="0"/>
          <w:sz w:val="18"/>
          <w:szCs w:val="18"/>
          <w:lang w:val="zh-CN"/>
          <w14:textFill>
            <w14:solidFill>
              <w14:schemeClr w14:val="tx1"/>
            </w14:solidFill>
          </w14:textFill>
        </w:rPr>
        <w:t>产品</w:t>
      </w:r>
      <w:r>
        <w:rPr>
          <w:rFonts w:hint="eastAsia" w:cs="宋体" w:asciiTheme="minorEastAsia" w:hAnsiTheme="minorEastAsia" w:eastAsiaTheme="minorEastAsia"/>
          <w:color w:val="000000" w:themeColor="text1"/>
          <w:spacing w:val="0"/>
          <w:sz w:val="18"/>
          <w:szCs w:val="18"/>
          <w14:textFill>
            <w14:solidFill>
              <w14:schemeClr w14:val="tx1"/>
            </w14:solidFill>
          </w14:textFill>
        </w:rPr>
        <w:t>的过往业绩及其净值高低并不预示其未来业绩表现。基金管理人提醒投资人</w:t>
      </w:r>
      <w:r>
        <w:rPr>
          <w:rFonts w:cs="宋体" w:asciiTheme="minorEastAsia" w:hAnsiTheme="minorEastAsia" w:eastAsiaTheme="minorEastAsia"/>
          <w:color w:val="000000" w:themeColor="text1"/>
          <w:spacing w:val="0"/>
          <w:sz w:val="18"/>
          <w:szCs w:val="18"/>
          <w14:textFill>
            <w14:solidFill>
              <w14:schemeClr w14:val="tx1"/>
            </w14:solidFill>
          </w14:textFill>
        </w:rPr>
        <w:t xml:space="preserve"> </w:t>
      </w:r>
      <w:r>
        <w:rPr>
          <w:rFonts w:hint="eastAsia" w:cs="宋体" w:asciiTheme="minorEastAsia" w:hAnsiTheme="minorEastAsia" w:eastAsiaTheme="minorEastAsia"/>
          <w:color w:val="000000" w:themeColor="text1"/>
          <w:spacing w:val="0"/>
          <w:sz w:val="18"/>
          <w:szCs w:val="18"/>
          <w14:textFill>
            <w14:solidFill>
              <w14:schemeClr w14:val="tx1"/>
            </w14:solidFill>
          </w14:textFill>
        </w:rPr>
        <w:t>“买者自负”的原则，在做出投资决策后，</w:t>
      </w:r>
      <w:r>
        <w:rPr>
          <w:rFonts w:hint="eastAsia" w:asciiTheme="minorEastAsia" w:hAnsiTheme="minorEastAsia" w:eastAsiaTheme="minorEastAsia"/>
          <w:color w:val="000000" w:themeColor="text1"/>
          <w:spacing w:val="0"/>
          <w:sz w:val="18"/>
          <w:szCs w:val="18"/>
          <w:lang w:val="zh-CN"/>
          <w14:textFill>
            <w14:solidFill>
              <w14:schemeClr w14:val="tx1"/>
            </w14:solidFill>
          </w14:textFill>
        </w:rPr>
        <w:t>基金</w:t>
      </w:r>
      <w:r>
        <w:rPr>
          <w:rFonts w:asciiTheme="minorEastAsia" w:hAnsiTheme="minorEastAsia" w:eastAsiaTheme="minorEastAsia"/>
          <w:color w:val="000000" w:themeColor="text1"/>
          <w:spacing w:val="0"/>
          <w:sz w:val="18"/>
          <w:szCs w:val="18"/>
          <w:lang w:val="zh-CN"/>
          <w14:textFill>
            <w14:solidFill>
              <w14:schemeClr w14:val="tx1"/>
            </w14:solidFill>
          </w14:textFill>
        </w:rPr>
        <w:t>/</w:t>
      </w:r>
      <w:r>
        <w:rPr>
          <w:rFonts w:hint="eastAsia" w:asciiTheme="minorEastAsia" w:hAnsiTheme="minorEastAsia" w:eastAsiaTheme="minorEastAsia"/>
          <w:color w:val="000000" w:themeColor="text1"/>
          <w:spacing w:val="0"/>
          <w:sz w:val="18"/>
          <w:szCs w:val="18"/>
          <w:lang w:val="zh-CN"/>
          <w14:textFill>
            <w14:solidFill>
              <w14:schemeClr w14:val="tx1"/>
            </w14:solidFill>
          </w14:textFill>
        </w:rPr>
        <w:t>资产管理计划</w:t>
      </w:r>
      <w:r>
        <w:rPr>
          <w:rFonts w:hint="eastAsia" w:cs="宋体" w:asciiTheme="minorEastAsia" w:hAnsiTheme="minorEastAsia" w:eastAsiaTheme="minorEastAsia"/>
          <w:color w:val="000000" w:themeColor="text1"/>
          <w:spacing w:val="0"/>
          <w:sz w:val="18"/>
          <w:szCs w:val="18"/>
          <w14:textFill>
            <w14:solidFill>
              <w14:schemeClr w14:val="tx1"/>
            </w14:solidFill>
          </w14:textFill>
        </w:rPr>
        <w:t>运营状况与净值变化引致的投资风险，由投资人自行负担。</w:t>
      </w:r>
    </w:p>
    <w:p>
      <w:pPr>
        <w:spacing w:line="360" w:lineRule="exact"/>
        <w:ind w:firstLine="360" w:firstLineChars="200"/>
        <w:rPr>
          <w:rFonts w:cs="宋体" w:asciiTheme="minorEastAsia" w:hAnsiTheme="minorEastAsia" w:eastAsiaTheme="minorEastAsia"/>
          <w:color w:val="000000" w:themeColor="text1"/>
          <w:spacing w:val="0"/>
          <w:sz w:val="18"/>
          <w:szCs w:val="18"/>
          <w14:textFill>
            <w14:solidFill>
              <w14:schemeClr w14:val="tx1"/>
            </w14:solidFill>
          </w14:textFill>
        </w:rPr>
      </w:pPr>
      <w:r>
        <w:rPr>
          <w:rFonts w:hint="eastAsia" w:cs="宋体" w:asciiTheme="minorEastAsia" w:hAnsiTheme="minorEastAsia" w:eastAsiaTheme="minorEastAsia"/>
          <w:color w:val="000000" w:themeColor="text1"/>
          <w:spacing w:val="0"/>
          <w:sz w:val="18"/>
          <w:szCs w:val="18"/>
          <w14:textFill>
            <w14:solidFill>
              <w14:schemeClr w14:val="tx1"/>
            </w14:solidFill>
          </w14:textFill>
        </w:rPr>
        <w:t>（五）本公司将对投资人的风险承受能力进行调查和评价。投资人在投资</w:t>
      </w:r>
      <w:r>
        <w:rPr>
          <w:rFonts w:hint="eastAsia" w:cs="Arial" w:asciiTheme="minorEastAsia" w:hAnsiTheme="minorEastAsia" w:eastAsiaTheme="minorEastAsia"/>
          <w:color w:val="000000" w:themeColor="text1"/>
          <w:spacing w:val="0"/>
          <w:sz w:val="18"/>
          <w:szCs w:val="18"/>
          <w14:textFill>
            <w14:solidFill>
              <w14:schemeClr w14:val="tx1"/>
            </w14:solidFill>
          </w14:textFill>
        </w:rPr>
        <w:t>基金</w:t>
      </w:r>
      <w:r>
        <w:rPr>
          <w:rFonts w:cs="Arial" w:asciiTheme="minorEastAsia" w:hAnsiTheme="minorEastAsia" w:eastAsiaTheme="minorEastAsia"/>
          <w:color w:val="000000" w:themeColor="text1"/>
          <w:spacing w:val="0"/>
          <w:sz w:val="18"/>
          <w:szCs w:val="18"/>
          <w14:textFill>
            <w14:solidFill>
              <w14:schemeClr w14:val="tx1"/>
            </w14:solidFill>
          </w14:textFill>
        </w:rPr>
        <w:t>/</w:t>
      </w:r>
      <w:r>
        <w:rPr>
          <w:rFonts w:hint="eastAsia" w:cs="Arial" w:asciiTheme="minorEastAsia" w:hAnsiTheme="minorEastAsia" w:eastAsiaTheme="minorEastAsia"/>
          <w:color w:val="000000" w:themeColor="text1"/>
          <w:spacing w:val="0"/>
          <w:sz w:val="18"/>
          <w:szCs w:val="18"/>
          <w14:textFill>
            <w14:solidFill>
              <w14:schemeClr w14:val="tx1"/>
            </w14:solidFill>
          </w14:textFill>
        </w:rPr>
        <w:t>资产管理计划</w:t>
      </w:r>
      <w:r>
        <w:rPr>
          <w:rFonts w:hint="eastAsia" w:cs="宋体" w:asciiTheme="minorEastAsia" w:hAnsiTheme="minorEastAsia" w:eastAsiaTheme="minorEastAsia"/>
          <w:color w:val="000000" w:themeColor="text1"/>
          <w:spacing w:val="0"/>
          <w:sz w:val="18"/>
          <w:szCs w:val="18"/>
          <w14:textFill>
            <w14:solidFill>
              <w14:schemeClr w14:val="tx1"/>
            </w14:solidFill>
          </w14:textFill>
        </w:rPr>
        <w:t>前应认真阅读合同、招募说明书等法律文件，应根据自身风险承受能力选择</w:t>
      </w:r>
      <w:r>
        <w:rPr>
          <w:rFonts w:hint="eastAsia" w:asciiTheme="minorEastAsia" w:hAnsiTheme="minorEastAsia" w:eastAsiaTheme="minorEastAsia"/>
          <w:color w:val="000000" w:themeColor="text1"/>
          <w:spacing w:val="0"/>
          <w:sz w:val="18"/>
          <w:szCs w:val="18"/>
          <w:lang w:val="zh-CN"/>
          <w14:textFill>
            <w14:solidFill>
              <w14:schemeClr w14:val="tx1"/>
            </w14:solidFill>
          </w14:textFill>
        </w:rPr>
        <w:t>基金</w:t>
      </w:r>
      <w:r>
        <w:rPr>
          <w:rFonts w:asciiTheme="minorEastAsia" w:hAnsiTheme="minorEastAsia" w:eastAsiaTheme="minorEastAsia"/>
          <w:color w:val="000000" w:themeColor="text1"/>
          <w:spacing w:val="0"/>
          <w:sz w:val="18"/>
          <w:szCs w:val="18"/>
          <w:lang w:val="zh-CN"/>
          <w14:textFill>
            <w14:solidFill>
              <w14:schemeClr w14:val="tx1"/>
            </w14:solidFill>
          </w14:textFill>
        </w:rPr>
        <w:t>/</w:t>
      </w:r>
      <w:r>
        <w:rPr>
          <w:rFonts w:hint="eastAsia" w:asciiTheme="minorEastAsia" w:hAnsiTheme="minorEastAsia" w:eastAsiaTheme="minorEastAsia"/>
          <w:color w:val="000000" w:themeColor="text1"/>
          <w:spacing w:val="0"/>
          <w:sz w:val="18"/>
          <w:szCs w:val="18"/>
          <w:lang w:val="zh-CN"/>
          <w14:textFill>
            <w14:solidFill>
              <w14:schemeClr w14:val="tx1"/>
            </w14:solidFill>
          </w14:textFill>
        </w:rPr>
        <w:t>资产管理计划</w:t>
      </w:r>
      <w:r>
        <w:rPr>
          <w:rFonts w:hint="eastAsia" w:cs="宋体" w:asciiTheme="minorEastAsia" w:hAnsiTheme="minorEastAsia" w:eastAsiaTheme="minorEastAsia"/>
          <w:color w:val="000000" w:themeColor="text1"/>
          <w:spacing w:val="0"/>
          <w:sz w:val="18"/>
          <w:szCs w:val="18"/>
          <w14:textFill>
            <w14:solidFill>
              <w14:schemeClr w14:val="tx1"/>
            </w14:solidFill>
          </w14:textFill>
        </w:rPr>
        <w:t>产品并自行承担投资风险。</w:t>
      </w:r>
    </w:p>
    <w:p>
      <w:pPr>
        <w:spacing w:line="360" w:lineRule="exact"/>
        <w:ind w:firstLine="360" w:firstLineChars="200"/>
        <w:rPr>
          <w:rFonts w:cs="宋体" w:asciiTheme="minorEastAsia" w:hAnsiTheme="minorEastAsia" w:eastAsiaTheme="minorEastAsia"/>
          <w:b/>
          <w:color w:val="000000" w:themeColor="text1"/>
          <w:spacing w:val="0"/>
          <w:sz w:val="18"/>
          <w:szCs w:val="18"/>
          <w14:textFill>
            <w14:solidFill>
              <w14:schemeClr w14:val="tx1"/>
            </w14:solidFill>
          </w14:textFill>
        </w:rPr>
      </w:pPr>
      <w:r>
        <w:rPr>
          <w:rFonts w:hint="eastAsia" w:cs="宋体" w:asciiTheme="minorEastAsia" w:hAnsiTheme="minorEastAsia" w:eastAsiaTheme="minorEastAsia"/>
          <w:b/>
          <w:color w:val="000000" w:themeColor="text1"/>
          <w:spacing w:val="0"/>
          <w:sz w:val="18"/>
          <w:szCs w:val="18"/>
          <w14:textFill>
            <w14:solidFill>
              <w14:schemeClr w14:val="tx1"/>
            </w14:solidFill>
          </w14:textFill>
        </w:rPr>
        <w:t>以上风险提示事项仅为列举性质，未能详尽列明投资者投资基金</w:t>
      </w:r>
      <w:r>
        <w:rPr>
          <w:rFonts w:cs="宋体" w:asciiTheme="minorEastAsia" w:hAnsiTheme="minorEastAsia" w:eastAsiaTheme="minorEastAsia"/>
          <w:b/>
          <w:color w:val="000000" w:themeColor="text1"/>
          <w:spacing w:val="0"/>
          <w:sz w:val="18"/>
          <w:szCs w:val="18"/>
          <w14:textFill>
            <w14:solidFill>
              <w14:schemeClr w14:val="tx1"/>
            </w14:solidFill>
          </w14:textFill>
        </w:rPr>
        <w:t>/资产管理计划</w:t>
      </w:r>
      <w:r>
        <w:rPr>
          <w:rFonts w:hint="eastAsia" w:cs="宋体" w:asciiTheme="minorEastAsia" w:hAnsiTheme="minorEastAsia" w:eastAsiaTheme="minorEastAsia"/>
          <w:b/>
          <w:color w:val="000000" w:themeColor="text1"/>
          <w:spacing w:val="0"/>
          <w:sz w:val="18"/>
          <w:szCs w:val="18"/>
          <w14:textFill>
            <w14:solidFill>
              <w14:schemeClr w14:val="tx1"/>
            </w14:solidFill>
          </w14:textFill>
        </w:rPr>
        <w:t>所面临的全部风险和可能导致投资者资产损失的所有因素。投资者在投资基金</w:t>
      </w:r>
      <w:r>
        <w:rPr>
          <w:rFonts w:cs="宋体" w:asciiTheme="minorEastAsia" w:hAnsiTheme="minorEastAsia" w:eastAsiaTheme="minorEastAsia"/>
          <w:b/>
          <w:color w:val="000000" w:themeColor="text1"/>
          <w:spacing w:val="0"/>
          <w:sz w:val="18"/>
          <w:szCs w:val="18"/>
          <w14:textFill>
            <w14:solidFill>
              <w14:schemeClr w14:val="tx1"/>
            </w14:solidFill>
          </w14:textFill>
        </w:rPr>
        <w:t>/资产管理计划</w:t>
      </w:r>
      <w:r>
        <w:rPr>
          <w:rFonts w:hint="eastAsia" w:cs="宋体" w:asciiTheme="minorEastAsia" w:hAnsiTheme="minorEastAsia" w:eastAsiaTheme="minorEastAsia"/>
          <w:b/>
          <w:color w:val="000000" w:themeColor="text1"/>
          <w:spacing w:val="0"/>
          <w:sz w:val="18"/>
          <w:szCs w:val="18"/>
          <w14:textFill>
            <w14:solidFill>
              <w14:schemeClr w14:val="tx1"/>
            </w14:solidFill>
          </w14:textFill>
        </w:rPr>
        <w:t>前，应认真阅读并理解相关业务规则、招募说明书、基金合同及本权益告知书的全部内容，并独立做出是否购买基金</w:t>
      </w:r>
      <w:r>
        <w:rPr>
          <w:rFonts w:cs="宋体" w:asciiTheme="minorEastAsia" w:hAnsiTheme="minorEastAsia" w:eastAsiaTheme="minorEastAsia"/>
          <w:b/>
          <w:color w:val="000000" w:themeColor="text1"/>
          <w:spacing w:val="0"/>
          <w:sz w:val="18"/>
          <w:szCs w:val="18"/>
          <w14:textFill>
            <w14:solidFill>
              <w14:schemeClr w14:val="tx1"/>
            </w14:solidFill>
          </w14:textFill>
        </w:rPr>
        <w:t>/资产管理计划</w:t>
      </w:r>
      <w:r>
        <w:rPr>
          <w:rFonts w:hint="eastAsia" w:cs="宋体" w:asciiTheme="minorEastAsia" w:hAnsiTheme="minorEastAsia" w:eastAsiaTheme="minorEastAsia"/>
          <w:b/>
          <w:color w:val="000000" w:themeColor="text1"/>
          <w:spacing w:val="0"/>
          <w:sz w:val="18"/>
          <w:szCs w:val="18"/>
          <w14:textFill>
            <w14:solidFill>
              <w14:schemeClr w14:val="tx1"/>
            </w14:solidFill>
          </w14:textFill>
        </w:rPr>
        <w:t>以及签署相关法律文件的决定。</w:t>
      </w:r>
    </w:p>
    <w:p>
      <w:pPr>
        <w:spacing w:line="360" w:lineRule="exact"/>
        <w:ind w:firstLine="360" w:firstLineChars="200"/>
        <w:rPr>
          <w:rFonts w:cs="宋体" w:asciiTheme="minorEastAsia" w:hAnsiTheme="minorEastAsia" w:eastAsiaTheme="minorEastAsia"/>
          <w:b/>
          <w:color w:val="000000" w:themeColor="text1"/>
          <w:spacing w:val="0"/>
          <w:sz w:val="18"/>
          <w:szCs w:val="18"/>
          <w14:textFill>
            <w14:solidFill>
              <w14:schemeClr w14:val="tx1"/>
            </w14:solidFill>
          </w14:textFill>
        </w:rPr>
      </w:pPr>
      <w:r>
        <w:rPr>
          <w:rFonts w:hint="eastAsia" w:cs="宋体" w:asciiTheme="minorEastAsia" w:hAnsiTheme="minorEastAsia" w:eastAsiaTheme="minorEastAsia"/>
          <w:b/>
          <w:color w:val="000000" w:themeColor="text1"/>
          <w:spacing w:val="0"/>
          <w:sz w:val="18"/>
          <w:szCs w:val="18"/>
          <w14:textFill>
            <w14:solidFill>
              <w14:schemeClr w14:val="tx1"/>
            </w14:solidFill>
          </w14:textFill>
        </w:rPr>
        <w:t>基金</w:t>
      </w:r>
      <w:r>
        <w:rPr>
          <w:rFonts w:cs="宋体" w:asciiTheme="minorEastAsia" w:hAnsiTheme="minorEastAsia" w:eastAsiaTheme="minorEastAsia"/>
          <w:b/>
          <w:color w:val="000000" w:themeColor="text1"/>
          <w:spacing w:val="0"/>
          <w:sz w:val="18"/>
          <w:szCs w:val="18"/>
          <w14:textFill>
            <w14:solidFill>
              <w14:schemeClr w14:val="tx1"/>
            </w14:solidFill>
          </w14:textFill>
        </w:rPr>
        <w:t>/资产管理计划</w:t>
      </w:r>
      <w:r>
        <w:rPr>
          <w:rFonts w:hint="eastAsia" w:cs="宋体" w:asciiTheme="minorEastAsia" w:hAnsiTheme="minorEastAsia" w:eastAsiaTheme="minorEastAsia"/>
          <w:b/>
          <w:color w:val="000000" w:themeColor="text1"/>
          <w:spacing w:val="0"/>
          <w:sz w:val="18"/>
          <w:szCs w:val="18"/>
          <w14:textFill>
            <w14:solidFill>
              <w14:schemeClr w14:val="tx1"/>
            </w14:solidFill>
          </w14:textFill>
        </w:rPr>
        <w:t>投资风险由投资者自行承担，基金管理人、基金托管人不以任何方式向投资者做出保证其资产本金不受损失或者保证其取得最低收益的承诺。</w:t>
      </w:r>
    </w:p>
    <w:p>
      <w:pPr>
        <w:spacing w:line="360" w:lineRule="exact"/>
        <w:ind w:firstLine="345"/>
        <w:rPr>
          <w:rFonts w:cs="新宋体" w:asciiTheme="minorEastAsia" w:hAnsiTheme="minorEastAsia" w:eastAsiaTheme="minorEastAsia"/>
          <w:b/>
          <w:color w:val="000000" w:themeColor="text1"/>
          <w:spacing w:val="0"/>
          <w:sz w:val="18"/>
          <w:szCs w:val="18"/>
          <w14:textFill>
            <w14:solidFill>
              <w14:schemeClr w14:val="tx1"/>
            </w14:solidFill>
          </w14:textFill>
        </w:rPr>
      </w:pPr>
      <w:r>
        <w:rPr>
          <w:rFonts w:hint="eastAsia" w:cs="宋体" w:asciiTheme="minorEastAsia" w:hAnsiTheme="minorEastAsia" w:eastAsiaTheme="minorEastAsia"/>
          <w:b/>
          <w:color w:val="000000" w:themeColor="text1"/>
          <w:spacing w:val="0"/>
          <w:sz w:val="18"/>
          <w:szCs w:val="18"/>
          <w14:textFill>
            <w14:solidFill>
              <w14:schemeClr w14:val="tx1"/>
            </w14:solidFill>
          </w14:textFill>
        </w:rPr>
        <w:t>特别提示：投资者在本权益告知书签字，即表明投资者已经理解并愿意自行承担投资基金</w:t>
      </w:r>
      <w:r>
        <w:rPr>
          <w:rFonts w:cs="宋体" w:asciiTheme="minorEastAsia" w:hAnsiTheme="minorEastAsia" w:eastAsiaTheme="minorEastAsia"/>
          <w:b/>
          <w:color w:val="000000" w:themeColor="text1"/>
          <w:spacing w:val="0"/>
          <w:sz w:val="18"/>
          <w:szCs w:val="18"/>
          <w14:textFill>
            <w14:solidFill>
              <w14:schemeClr w14:val="tx1"/>
            </w14:solidFill>
          </w14:textFill>
        </w:rPr>
        <w:t>/资产管理计划</w:t>
      </w:r>
      <w:r>
        <w:rPr>
          <w:rFonts w:hint="eastAsia" w:cs="宋体" w:asciiTheme="minorEastAsia" w:hAnsiTheme="minorEastAsia" w:eastAsiaTheme="minorEastAsia"/>
          <w:b/>
          <w:color w:val="000000" w:themeColor="text1"/>
          <w:spacing w:val="0"/>
          <w:sz w:val="18"/>
          <w:szCs w:val="18"/>
          <w14:textFill>
            <w14:solidFill>
              <w14:schemeClr w14:val="tx1"/>
            </w14:solidFill>
          </w14:textFill>
        </w:rPr>
        <w:t>的风险和损失。</w:t>
      </w:r>
    </w:p>
    <w:p>
      <w:pPr>
        <w:ind w:firstLine="345"/>
        <w:rPr>
          <w:rFonts w:cs="宋体" w:asciiTheme="minorEastAsia" w:hAnsiTheme="minorEastAsia" w:eastAsiaTheme="minorEastAsia"/>
          <w:color w:val="000000" w:themeColor="text1"/>
          <w:spacing w:val="0"/>
          <w:sz w:val="18"/>
          <w:szCs w:val="18"/>
          <w14:textFill>
            <w14:solidFill>
              <w14:schemeClr w14:val="tx1"/>
            </w14:solidFill>
          </w14:textFill>
        </w:rPr>
      </w:pPr>
    </w:p>
    <w:p>
      <w:pPr>
        <w:widowControl w:val="0"/>
        <w:tabs>
          <w:tab w:val="left" w:pos="720"/>
        </w:tabs>
        <w:autoSpaceDE w:val="0"/>
        <w:autoSpaceDN w:val="0"/>
        <w:adjustRightInd w:val="0"/>
        <w:ind w:left="72" w:right="18"/>
        <w:rPr>
          <w:rFonts w:cs="新宋体" w:asciiTheme="minorEastAsia" w:hAnsiTheme="minorEastAsia" w:eastAsiaTheme="minorEastAsia"/>
          <w:color w:val="000000" w:themeColor="text1"/>
          <w:spacing w:val="0"/>
          <w:sz w:val="18"/>
          <w:szCs w:val="18"/>
          <w:lang w:val="zh-CN"/>
          <w14:textFill>
            <w14:solidFill>
              <w14:schemeClr w14:val="tx1"/>
            </w14:solidFill>
          </w14:textFill>
        </w:rPr>
      </w:pPr>
      <w:r>
        <w:rPr>
          <w:rFonts w:hint="eastAsia" w:cs="新宋体" w:asciiTheme="minorEastAsia" w:hAnsiTheme="minorEastAsia" w:eastAsiaTheme="minorEastAsia"/>
          <w:b/>
          <w:color w:val="000000" w:themeColor="text1"/>
          <w:spacing w:val="0"/>
          <w:sz w:val="18"/>
          <w:szCs w:val="18"/>
          <w:lang w:val="zh-CN"/>
          <w14:textFill>
            <w14:solidFill>
              <w14:schemeClr w14:val="tx1"/>
            </w14:solidFill>
          </w14:textFill>
        </w:rPr>
        <w:t>投资人声明：</w:t>
      </w:r>
    </w:p>
    <w:p>
      <w:pPr>
        <w:widowControl w:val="0"/>
        <w:tabs>
          <w:tab w:val="left" w:pos="720"/>
        </w:tabs>
        <w:autoSpaceDE w:val="0"/>
        <w:autoSpaceDN w:val="0"/>
        <w:adjustRightInd w:val="0"/>
        <w:ind w:left="72" w:right="18" w:firstLine="360" w:firstLineChars="200"/>
        <w:rPr>
          <w:rFonts w:cs="新宋体" w:asciiTheme="minorEastAsia" w:hAnsiTheme="minorEastAsia" w:eastAsiaTheme="minorEastAsia"/>
          <w:color w:val="000000" w:themeColor="text1"/>
          <w:spacing w:val="0"/>
          <w:sz w:val="18"/>
          <w:szCs w:val="18"/>
          <w14:textFill>
            <w14:solidFill>
              <w14:schemeClr w14:val="tx1"/>
            </w14:solidFill>
          </w14:textFill>
        </w:rPr>
      </w:pPr>
      <w:r>
        <w:rPr>
          <w:rFonts w:hint="eastAsia" w:cs="新宋体" w:asciiTheme="minorEastAsia" w:hAnsiTheme="minorEastAsia" w:eastAsiaTheme="minorEastAsia"/>
          <w:color w:val="000000" w:themeColor="text1"/>
          <w:spacing w:val="0"/>
          <w:sz w:val="18"/>
          <w:szCs w:val="18"/>
          <w14:textFill>
            <w14:solidFill>
              <w14:schemeClr w14:val="tx1"/>
            </w14:solidFill>
          </w14:textFill>
        </w:rPr>
        <w:t>本人/本机构已经阅读仔细阅读</w:t>
      </w:r>
      <w:r>
        <w:rPr>
          <w:rFonts w:hint="eastAsia" w:cs="新宋体" w:asciiTheme="minorEastAsia" w:hAnsiTheme="minorEastAsia" w:eastAsiaTheme="minorEastAsia"/>
          <w:color w:val="000000" w:themeColor="text1"/>
          <w:spacing w:val="0"/>
          <w:sz w:val="18"/>
          <w:szCs w:val="18"/>
          <w:lang w:val="zh-CN"/>
          <w14:textFill>
            <w14:solidFill>
              <w14:schemeClr w14:val="tx1"/>
            </w14:solidFill>
          </w14:textFill>
        </w:rPr>
        <w:t>《投资人权益告知书》，</w:t>
      </w:r>
      <w:r>
        <w:rPr>
          <w:rFonts w:hint="eastAsia" w:cs="新宋体" w:asciiTheme="minorEastAsia" w:hAnsiTheme="minorEastAsia" w:eastAsiaTheme="minorEastAsia"/>
          <w:color w:val="000000" w:themeColor="text1"/>
          <w:spacing w:val="0"/>
          <w:sz w:val="18"/>
          <w:szCs w:val="18"/>
          <w14:textFill>
            <w14:solidFill>
              <w14:schemeClr w14:val="tx1"/>
            </w14:solidFill>
          </w14:textFill>
        </w:rPr>
        <w:t>知悉基金管理人的风险提示且完全理解上述内容，充分认识投资基金/资产管理计划的风险和收益，并已谨慎评估自身风险承受能力，承诺具备承担基金/资产管理计划的可能风险损失的风险承受能力，并愿意承担相应的损失。</w:t>
      </w:r>
      <w:permStart w:id="0" w:edGrp="everyone"/>
      <w:permEnd w:id="0"/>
    </w:p>
    <w:p>
      <w:pPr>
        <w:widowControl w:val="0"/>
        <w:tabs>
          <w:tab w:val="left" w:pos="720"/>
        </w:tabs>
        <w:autoSpaceDE w:val="0"/>
        <w:autoSpaceDN w:val="0"/>
        <w:adjustRightInd w:val="0"/>
        <w:ind w:left="72" w:right="18" w:firstLine="360" w:firstLineChars="200"/>
        <w:rPr>
          <w:rFonts w:cs="新宋体" w:asciiTheme="minorEastAsia" w:hAnsiTheme="minorEastAsia" w:eastAsiaTheme="minorEastAsia"/>
          <w:color w:val="000000" w:themeColor="text1"/>
          <w:spacing w:val="0"/>
          <w:sz w:val="18"/>
          <w:szCs w:val="18"/>
          <w:lang w:val="zh-CN"/>
          <w14:textFill>
            <w14:solidFill>
              <w14:schemeClr w14:val="tx1"/>
            </w14:solidFill>
          </w14:textFill>
        </w:rPr>
      </w:pPr>
      <w:r>
        <w:rPr>
          <w:rFonts w:hint="eastAsia" w:cs="新宋体" w:asciiTheme="minorEastAsia" w:hAnsiTheme="minorEastAsia" w:eastAsiaTheme="minorEastAsia"/>
          <w:color w:val="000000" w:themeColor="text1"/>
          <w:spacing w:val="0"/>
          <w:sz w:val="18"/>
          <w:szCs w:val="18"/>
          <w14:textFill>
            <w14:solidFill>
              <w14:schemeClr w14:val="tx1"/>
            </w14:solidFill>
          </w14:textFill>
        </w:rPr>
        <w:t>本人/本机构在已充分了解基金/资产管理计划法律文件内容的基础上，根据自身独立判断自主参与交易，并未依赖于基金管理人在合同条款及基金合约之外的任何陈述、说明、文件或承诺。</w:t>
      </w:r>
    </w:p>
    <w:p>
      <w:pPr>
        <w:widowControl w:val="0"/>
        <w:tabs>
          <w:tab w:val="left" w:pos="720"/>
        </w:tabs>
        <w:autoSpaceDE w:val="0"/>
        <w:autoSpaceDN w:val="0"/>
        <w:adjustRightInd w:val="0"/>
        <w:ind w:left="72" w:right="18" w:firstLine="360" w:firstLineChars="200"/>
        <w:rPr>
          <w:rFonts w:cs="新宋体" w:asciiTheme="minorEastAsia" w:hAnsiTheme="minorEastAsia" w:eastAsiaTheme="minorEastAsia"/>
          <w:color w:val="000000" w:themeColor="text1"/>
          <w:spacing w:val="0"/>
          <w:sz w:val="18"/>
          <w:szCs w:val="18"/>
          <w:lang w:val="zh-CN"/>
          <w14:textFill>
            <w14:solidFill>
              <w14:schemeClr w14:val="tx1"/>
            </w14:solidFill>
          </w14:textFill>
        </w:rPr>
      </w:pPr>
    </w:p>
    <w:p>
      <w:pPr>
        <w:widowControl w:val="0"/>
        <w:tabs>
          <w:tab w:val="left" w:pos="720"/>
        </w:tabs>
        <w:autoSpaceDE w:val="0"/>
        <w:autoSpaceDN w:val="0"/>
        <w:adjustRightInd w:val="0"/>
        <w:ind w:left="72" w:right="18"/>
        <w:rPr>
          <w:rFonts w:cs="新宋体" w:asciiTheme="minorEastAsia" w:hAnsiTheme="minorEastAsia" w:eastAsiaTheme="minorEastAsia"/>
          <w:color w:val="000000" w:themeColor="text1"/>
          <w:spacing w:val="0"/>
          <w:sz w:val="18"/>
          <w:szCs w:val="18"/>
          <w:lang w:val="zh-CN"/>
          <w14:textFill>
            <w14:solidFill>
              <w14:schemeClr w14:val="tx1"/>
            </w14:solidFill>
          </w14:textFill>
        </w:rPr>
      </w:pPr>
      <w:r>
        <w:rPr>
          <w:rFonts w:hint="eastAsia" w:cs="新宋体" w:asciiTheme="minorEastAsia" w:hAnsiTheme="minorEastAsia" w:eastAsiaTheme="minorEastAsia"/>
          <w:color w:val="000000" w:themeColor="text1"/>
          <w:spacing w:val="0"/>
          <w:sz w:val="18"/>
          <w:szCs w:val="18"/>
          <w:lang w:val="zh-CN"/>
          <w14:textFill>
            <w14:solidFill>
              <w14:schemeClr w14:val="tx1"/>
            </w14:solidFill>
          </w14:textFill>
        </w:rPr>
        <w:t xml:space="preserve">机构投资者（公章）：                                         </w:t>
      </w:r>
    </w:p>
    <w:p>
      <w:pPr>
        <w:widowControl w:val="0"/>
        <w:tabs>
          <w:tab w:val="left" w:pos="720"/>
        </w:tabs>
        <w:autoSpaceDE w:val="0"/>
        <w:autoSpaceDN w:val="0"/>
        <w:adjustRightInd w:val="0"/>
        <w:ind w:left="72" w:right="18"/>
        <w:rPr>
          <w:rFonts w:cs="新宋体" w:asciiTheme="minorEastAsia" w:hAnsiTheme="minorEastAsia" w:eastAsiaTheme="minorEastAsia"/>
          <w:color w:val="000000" w:themeColor="text1"/>
          <w:spacing w:val="0"/>
          <w:sz w:val="18"/>
          <w:szCs w:val="18"/>
          <w:lang w:val="zh-CN"/>
          <w14:textFill>
            <w14:solidFill>
              <w14:schemeClr w14:val="tx1"/>
            </w14:solidFill>
          </w14:textFill>
        </w:rPr>
      </w:pPr>
    </w:p>
    <w:p>
      <w:pPr>
        <w:widowControl w:val="0"/>
        <w:tabs>
          <w:tab w:val="left" w:pos="720"/>
        </w:tabs>
        <w:autoSpaceDE w:val="0"/>
        <w:autoSpaceDN w:val="0"/>
        <w:adjustRightInd w:val="0"/>
        <w:ind w:left="72" w:right="18"/>
        <w:rPr>
          <w:rFonts w:cs="新宋体" w:asciiTheme="minorEastAsia" w:hAnsiTheme="minorEastAsia" w:eastAsiaTheme="minorEastAsia"/>
          <w:color w:val="000000" w:themeColor="text1"/>
          <w:spacing w:val="0"/>
          <w:sz w:val="18"/>
          <w:szCs w:val="18"/>
          <w:lang w:val="zh-CN"/>
          <w14:textFill>
            <w14:solidFill>
              <w14:schemeClr w14:val="tx1"/>
            </w14:solidFill>
          </w14:textFill>
        </w:rPr>
      </w:pPr>
    </w:p>
    <w:p>
      <w:pPr>
        <w:widowControl w:val="0"/>
        <w:tabs>
          <w:tab w:val="left" w:pos="720"/>
        </w:tabs>
        <w:autoSpaceDE w:val="0"/>
        <w:autoSpaceDN w:val="0"/>
        <w:adjustRightInd w:val="0"/>
        <w:ind w:left="72" w:right="18"/>
        <w:rPr>
          <w:rFonts w:cs="新宋体" w:asciiTheme="minorEastAsia" w:hAnsiTheme="minorEastAsia" w:eastAsiaTheme="minorEastAsia"/>
          <w:color w:val="000000" w:themeColor="text1"/>
          <w:spacing w:val="0"/>
          <w:sz w:val="18"/>
          <w:szCs w:val="18"/>
          <w:lang w:val="zh-CN"/>
          <w14:textFill>
            <w14:solidFill>
              <w14:schemeClr w14:val="tx1"/>
            </w14:solidFill>
          </w14:textFill>
        </w:rPr>
      </w:pPr>
    </w:p>
    <w:p>
      <w:pPr>
        <w:widowControl w:val="0"/>
        <w:tabs>
          <w:tab w:val="left" w:pos="720"/>
        </w:tabs>
        <w:autoSpaceDE w:val="0"/>
        <w:autoSpaceDN w:val="0"/>
        <w:adjustRightInd w:val="0"/>
        <w:ind w:left="72" w:right="18"/>
        <w:rPr>
          <w:rFonts w:cs="新宋体" w:asciiTheme="minorEastAsia" w:hAnsiTheme="minorEastAsia" w:eastAsiaTheme="minorEastAsia"/>
          <w:color w:val="000000" w:themeColor="text1"/>
          <w:spacing w:val="0"/>
          <w:sz w:val="18"/>
          <w:szCs w:val="18"/>
          <w:lang w:val="zh-CN"/>
          <w14:textFill>
            <w14:solidFill>
              <w14:schemeClr w14:val="tx1"/>
            </w14:solidFill>
          </w14:textFill>
        </w:rPr>
      </w:pPr>
      <w:r>
        <w:rPr>
          <w:rFonts w:hint="eastAsia" w:cs="新宋体" w:asciiTheme="minorEastAsia" w:hAnsiTheme="minorEastAsia" w:eastAsiaTheme="minorEastAsia"/>
          <w:color w:val="000000" w:themeColor="text1"/>
          <w:spacing w:val="0"/>
          <w:sz w:val="18"/>
          <w:szCs w:val="18"/>
          <w:lang w:val="zh-CN"/>
          <w14:textFill>
            <w14:solidFill>
              <w14:schemeClr w14:val="tx1"/>
            </w14:solidFill>
          </w14:textFill>
        </w:rPr>
        <w:t>个人投资者签字：</w:t>
      </w:r>
      <w:r>
        <w:rPr>
          <w:rFonts w:cs="新宋体" w:asciiTheme="minorEastAsia" w:hAnsiTheme="minorEastAsia" w:eastAsiaTheme="minorEastAsia"/>
          <w:color w:val="000000" w:themeColor="text1"/>
          <w:spacing w:val="0"/>
          <w:sz w:val="18"/>
          <w:szCs w:val="18"/>
          <w:lang w:val="zh-CN"/>
          <w14:textFill>
            <w14:solidFill>
              <w14:schemeClr w14:val="tx1"/>
            </w14:solidFill>
          </w14:textFill>
        </w:rPr>
        <w:t xml:space="preserve">                                                           </w:t>
      </w:r>
    </w:p>
    <w:p>
      <w:pPr>
        <w:widowControl w:val="0"/>
        <w:tabs>
          <w:tab w:val="left" w:pos="720"/>
        </w:tabs>
        <w:autoSpaceDE w:val="0"/>
        <w:autoSpaceDN w:val="0"/>
        <w:adjustRightInd w:val="0"/>
        <w:ind w:left="72" w:right="18"/>
        <w:rPr>
          <w:rFonts w:cs="新宋体" w:asciiTheme="minorEastAsia" w:hAnsiTheme="minorEastAsia" w:eastAsiaTheme="minorEastAsia"/>
          <w:color w:val="000000" w:themeColor="text1"/>
          <w:spacing w:val="0"/>
          <w:sz w:val="18"/>
          <w:szCs w:val="18"/>
          <w:lang w:val="zh-CN"/>
          <w14:textFill>
            <w14:solidFill>
              <w14:schemeClr w14:val="tx1"/>
            </w14:solidFill>
          </w14:textFill>
        </w:rPr>
      </w:pPr>
    </w:p>
    <w:p>
      <w:pPr>
        <w:widowControl w:val="0"/>
        <w:tabs>
          <w:tab w:val="left" w:pos="720"/>
        </w:tabs>
        <w:autoSpaceDE w:val="0"/>
        <w:autoSpaceDN w:val="0"/>
        <w:adjustRightInd w:val="0"/>
        <w:ind w:right="18"/>
        <w:jc w:val="left"/>
        <w:rPr>
          <w:rFonts w:hint="eastAsia" w:cs="新宋体" w:asciiTheme="minorEastAsia" w:hAnsiTheme="minorEastAsia" w:eastAsiaTheme="minorEastAsia"/>
          <w:color w:val="000000" w:themeColor="text1"/>
          <w:spacing w:val="0"/>
          <w:sz w:val="18"/>
          <w:szCs w:val="18"/>
          <w:lang w:val="zh-CN"/>
          <w14:textFill>
            <w14:solidFill>
              <w14:schemeClr w14:val="tx1"/>
            </w14:solidFill>
          </w14:textFill>
        </w:rPr>
      </w:pPr>
    </w:p>
    <w:p>
      <w:pPr>
        <w:widowControl w:val="0"/>
        <w:tabs>
          <w:tab w:val="left" w:pos="720"/>
        </w:tabs>
        <w:autoSpaceDE w:val="0"/>
        <w:autoSpaceDN w:val="0"/>
        <w:adjustRightInd w:val="0"/>
        <w:ind w:right="18" w:firstLine="720" w:firstLineChars="400"/>
        <w:jc w:val="right"/>
        <w:rPr>
          <w:rFonts w:asciiTheme="minorEastAsia" w:hAnsiTheme="minorEastAsia" w:eastAsiaTheme="minorEastAsia"/>
          <w:spacing w:val="0"/>
          <w:szCs w:val="18"/>
        </w:rPr>
      </w:pPr>
      <w:r>
        <w:rPr>
          <w:rFonts w:hint="eastAsia" w:cs="新宋体" w:asciiTheme="minorEastAsia" w:hAnsiTheme="minorEastAsia" w:eastAsiaTheme="minorEastAsia"/>
          <w:color w:val="000000" w:themeColor="text1"/>
          <w:spacing w:val="0"/>
          <w:sz w:val="18"/>
          <w:szCs w:val="18"/>
          <w:u w:val="none"/>
          <w:lang w:val="en-US" w:eastAsia="zh-CN"/>
          <w14:textFill>
            <w14:solidFill>
              <w14:schemeClr w14:val="tx1"/>
            </w14:solidFill>
          </w14:textFill>
        </w:rPr>
        <w:t xml:space="preserve"> </w:t>
      </w:r>
      <w:permStart w:id="1" w:edGrp="everyone"/>
      <w:r>
        <w:rPr>
          <w:rFonts w:hint="eastAsia" w:cs="新宋体" w:asciiTheme="minorEastAsia" w:hAnsiTheme="minorEastAsia" w:eastAsiaTheme="minorEastAsia"/>
          <w:color w:val="000000" w:themeColor="text1"/>
          <w:spacing w:val="0"/>
          <w:sz w:val="18"/>
          <w:szCs w:val="18"/>
          <w:u w:val="none"/>
          <w:lang w:val="en-US" w:eastAsia="zh-CN"/>
          <w14:textFill>
            <w14:solidFill>
              <w14:schemeClr w14:val="tx1"/>
            </w14:solidFill>
          </w14:textFill>
        </w:rPr>
        <w:t xml:space="preserve">         </w:t>
      </w:r>
      <w:permEnd w:id="1"/>
      <w:r>
        <w:rPr>
          <w:rFonts w:hint="eastAsia" w:cs="新宋体" w:asciiTheme="minorEastAsia" w:hAnsiTheme="minorEastAsia" w:eastAsiaTheme="minorEastAsia"/>
          <w:color w:val="000000" w:themeColor="text1"/>
          <w:spacing w:val="0"/>
          <w:sz w:val="18"/>
          <w:szCs w:val="18"/>
          <w:lang w:val="zh-CN"/>
          <w14:textFill>
            <w14:solidFill>
              <w14:schemeClr w14:val="tx1"/>
            </w14:solidFill>
          </w14:textFill>
        </w:rPr>
        <w:t>年</w:t>
      </w:r>
      <w:permStart w:id="2" w:edGrp="everyone"/>
      <w:r>
        <w:rPr>
          <w:rFonts w:cs="新宋体" w:asciiTheme="minorEastAsia" w:hAnsiTheme="minorEastAsia" w:eastAsiaTheme="minorEastAsia"/>
          <w:color w:val="000000" w:themeColor="text1"/>
          <w:spacing w:val="0"/>
          <w:sz w:val="18"/>
          <w:szCs w:val="18"/>
          <w:u w:val="none"/>
          <w:lang w:val="zh-CN"/>
          <w14:textFill>
            <w14:solidFill>
              <w14:schemeClr w14:val="tx1"/>
            </w14:solidFill>
          </w14:textFill>
        </w:rPr>
        <w:t xml:space="preserve">       </w:t>
      </w:r>
      <w:permEnd w:id="2"/>
      <w:r>
        <w:rPr>
          <w:rFonts w:hint="eastAsia" w:cs="新宋体" w:asciiTheme="minorEastAsia" w:hAnsiTheme="minorEastAsia" w:eastAsiaTheme="minorEastAsia"/>
          <w:color w:val="000000" w:themeColor="text1"/>
          <w:spacing w:val="0"/>
          <w:sz w:val="18"/>
          <w:szCs w:val="18"/>
          <w:lang w:val="zh-CN"/>
          <w14:textFill>
            <w14:solidFill>
              <w14:schemeClr w14:val="tx1"/>
            </w14:solidFill>
          </w14:textFill>
        </w:rPr>
        <w:t>月</w:t>
      </w:r>
      <w:bookmarkStart w:id="2" w:name="_GoBack"/>
      <w:permStart w:id="3" w:edGrp="everyone"/>
      <w:r>
        <w:rPr>
          <w:rFonts w:cs="新宋体" w:asciiTheme="minorEastAsia" w:hAnsiTheme="minorEastAsia" w:eastAsiaTheme="minorEastAsia"/>
          <w:color w:val="000000" w:themeColor="text1"/>
          <w:spacing w:val="0"/>
          <w:sz w:val="18"/>
          <w:szCs w:val="18"/>
          <w:lang w:val="zh-CN"/>
          <w14:textFill>
            <w14:solidFill>
              <w14:schemeClr w14:val="tx1"/>
            </w14:solidFill>
          </w14:textFill>
        </w:rPr>
        <w:t xml:space="preserve"> </w:t>
      </w:r>
      <w:bookmarkEnd w:id="2"/>
      <w:r>
        <w:rPr>
          <w:rFonts w:cs="新宋体" w:asciiTheme="minorEastAsia" w:hAnsiTheme="minorEastAsia" w:eastAsiaTheme="minorEastAsia"/>
          <w:color w:val="000000" w:themeColor="text1"/>
          <w:spacing w:val="0"/>
          <w:sz w:val="18"/>
          <w:szCs w:val="18"/>
          <w:lang w:val="zh-CN"/>
          <w14:textFill>
            <w14:solidFill>
              <w14:schemeClr w14:val="tx1"/>
            </w14:solidFill>
          </w14:textFill>
        </w:rPr>
        <w:t xml:space="preserve">     </w:t>
      </w:r>
      <w:permEnd w:id="3"/>
      <w:r>
        <w:rPr>
          <w:rFonts w:hint="eastAsia" w:cs="新宋体" w:asciiTheme="minorEastAsia" w:hAnsiTheme="minorEastAsia" w:eastAsiaTheme="minorEastAsia"/>
          <w:color w:val="000000" w:themeColor="text1"/>
          <w:spacing w:val="0"/>
          <w:sz w:val="18"/>
          <w:szCs w:val="18"/>
          <w:lang w:val="zh-CN"/>
          <w14:textFill>
            <w14:solidFill>
              <w14:schemeClr w14:val="tx1"/>
            </w14:solidFill>
          </w14:textFill>
        </w:rPr>
        <w:t>日</w:t>
      </w:r>
    </w:p>
    <w:sectPr>
      <w:headerReference r:id="rId4" w:type="first"/>
      <w:headerReference r:id="rId3" w:type="default"/>
      <w:footerReference r:id="rId5" w:type="default"/>
      <w:pgSz w:w="11906" w:h="16838"/>
      <w:pgMar w:top="1134" w:right="1134" w:bottom="1134" w:left="1134" w:header="510" w:footer="567"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6"/>
    <w:family w:val="swiss"/>
    <w:pitch w:val="default"/>
    <w:sig w:usb0="FFFFFFFF" w:usb1="E9FFFFFF" w:usb2="0000003F" w:usb3="00000000" w:csb0="603F01FF" w:csb1="FFFF0000"/>
  </w:font>
  <w:font w:name="ˎ̥">
    <w:altName w:val="Segoe Print"/>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Webdings">
    <w:panose1 w:val="05030102010509060703"/>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bookmarkStart w:id="0" w:name="_Hlk484140925"/>
    <w:bookmarkStart w:id="1" w:name="_Hlk484140926"/>
    <w:r>
      <w:rPr>
        <w:rFonts w:ascii="Times New Roman" w:hAnsi="Times New Roman"/>
        <w:b/>
        <w:color w:val="808080" w:themeColor="text1" w:themeTint="80"/>
        <w14:textFill>
          <w14:solidFill>
            <w14:schemeClr w14:val="tx1">
              <w14:lumMod w14:val="50000"/>
              <w14:lumOff w14:val="50000"/>
            </w14:schemeClr>
          </w14:solidFill>
        </w14:textFill>
      </w:rPr>
      <w:t>直销电话：</w:t>
    </w:r>
    <w:r>
      <w:rPr>
        <w:rFonts w:hint="eastAsia" w:ascii="Times New Roman" w:hAnsi="Times New Roman"/>
        <w:b/>
        <w:color w:val="808080" w:themeColor="text1" w:themeTint="80"/>
        <w14:textFill>
          <w14:solidFill>
            <w14:schemeClr w14:val="tx1">
              <w14:lumMod w14:val="50000"/>
              <w14:lumOff w14:val="50000"/>
            </w14:schemeClr>
          </w14:solidFill>
        </w14:textFill>
      </w:rPr>
      <w:t>010- 57303850/3803</w:t>
    </w:r>
    <w:r>
      <w:rPr>
        <w:rFonts w:ascii="Times New Roman" w:hAnsi="Times New Roman"/>
        <w:b/>
        <w:color w:val="808080" w:themeColor="text1" w:themeTint="80"/>
        <w14:textFill>
          <w14:solidFill>
            <w14:schemeClr w14:val="tx1">
              <w14:lumMod w14:val="50000"/>
              <w14:lumOff w14:val="50000"/>
            </w14:schemeClr>
          </w14:solidFill>
        </w14:textFill>
      </w:rPr>
      <w:t xml:space="preserve">       直销传真：</w:t>
    </w:r>
    <w:r>
      <w:rPr>
        <w:rFonts w:hint="eastAsia" w:ascii="Times New Roman" w:hAnsi="Times New Roman"/>
        <w:b/>
        <w:color w:val="808080" w:themeColor="text1" w:themeTint="80"/>
        <w14:textFill>
          <w14:solidFill>
            <w14:schemeClr w14:val="tx1">
              <w14:lumMod w14:val="50000"/>
              <w14:lumOff w14:val="50000"/>
            </w14:schemeClr>
          </w14:solidFill>
        </w14:textFill>
      </w:rPr>
      <w:t>010- 57303716/3717</w:t>
    </w:r>
    <w:r>
      <w:rPr>
        <w:rFonts w:ascii="Times New Roman" w:hAnsi="Times New Roman"/>
        <w:b/>
        <w:color w:val="808080" w:themeColor="text1" w:themeTint="80"/>
        <w14:textFill>
          <w14:solidFill>
            <w14:schemeClr w14:val="tx1">
              <w14:lumMod w14:val="50000"/>
              <w14:lumOff w14:val="50000"/>
            </w14:schemeClr>
          </w14:solidFill>
        </w14:textFill>
      </w:rPr>
      <w:t xml:space="preserve">       直销邮箱：zhixiao@</w:t>
    </w:r>
    <w:r>
      <w:rPr>
        <w:rFonts w:hint="eastAsia" w:ascii="Times New Roman" w:hAnsi="Times New Roman"/>
        <w:b/>
        <w:color w:val="808080" w:themeColor="text1" w:themeTint="80"/>
        <w14:textFill>
          <w14:solidFill>
            <w14:schemeClr w14:val="tx1">
              <w14:lumMod w14:val="50000"/>
              <w14:lumOff w14:val="50000"/>
            </w14:schemeClr>
          </w14:solidFill>
        </w14:textFill>
      </w:rPr>
      <w:t>founderff</w:t>
    </w:r>
    <w:r>
      <w:rPr>
        <w:rFonts w:ascii="Times New Roman" w:hAnsi="Times New Roman"/>
        <w:b/>
        <w:color w:val="808080" w:themeColor="text1" w:themeTint="80"/>
        <w14:textFill>
          <w14:solidFill>
            <w14:schemeClr w14:val="tx1">
              <w14:lumMod w14:val="50000"/>
              <w14:lumOff w14:val="50000"/>
            </w14:schemeClr>
          </w14:solidFill>
        </w14:textFill>
      </w:rPr>
      <w:t>.com</w:t>
    </w:r>
    <w:bookmarkEnd w:id="0"/>
    <w:bookmarkEnd w:id="1"/>
    <w:sdt>
      <w:sdtPr>
        <w:id w:val="678153514"/>
        <w:docPartObj>
          <w:docPartGallery w:val="autotext"/>
        </w:docPartObj>
      </w:sdtPr>
      <w:sdtContent>
        <w:sdt>
          <w:sdtPr>
            <w:id w:val="860082579"/>
            <w:docPartObj>
              <w:docPartGallery w:val="autotext"/>
            </w:docPartObj>
          </w:sdtPr>
          <w:sdtContent>
            <w:r>
              <w:rPr>
                <w:lang w:val="zh-CN"/>
              </w:rPr>
              <w:t xml:space="preserve"> </w:t>
            </w:r>
            <w:r>
              <w:rPr>
                <w:rFonts w:hint="eastAsia"/>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sdtContent>
        </w:sdt>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7880"/>
        <w:tab w:val="clear" w:pos="8306"/>
      </w:tabs>
      <w:jc w:val="left"/>
    </w:pPr>
    <w:r>
      <w:drawing>
        <wp:inline distT="0" distB="0" distL="0" distR="0">
          <wp:extent cx="2038350" cy="409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8350" cy="409575"/>
                  </a:xfrm>
                  <a:prstGeom prst="rect">
                    <a:avLst/>
                  </a:prstGeom>
                </pic:spPr>
              </pic:pic>
            </a:graphicData>
          </a:graphic>
        </wp:inline>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left"/>
    </w:pPr>
    <w:r>
      <w:rPr>
        <w:rFonts w:hint="eastAsia"/>
      </w:rPr>
      <w:t xml:space="preserve">方正富邦基金管理有限公司    </w:t>
    </w:r>
  </w:p>
  <w:p>
    <w:pPr>
      <w:pStyle w:val="24"/>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241B7"/>
    <w:multiLevelType w:val="multilevel"/>
    <w:tmpl w:val="0FB241B7"/>
    <w:lvl w:ilvl="0" w:tentative="0">
      <w:start w:val="1"/>
      <w:numFmt w:val="decimal"/>
      <w:pStyle w:val="78"/>
      <w:lvlText w:val="%1)"/>
      <w:lvlJc w:val="left"/>
      <w:pPr>
        <w:tabs>
          <w:tab w:val="left" w:pos="1496"/>
        </w:tabs>
        <w:ind w:left="1496" w:hanging="420"/>
      </w:pPr>
    </w:lvl>
    <w:lvl w:ilvl="1" w:tentative="0">
      <w:start w:val="2"/>
      <w:numFmt w:val="japaneseCounting"/>
      <w:pStyle w:val="77"/>
      <w:lvlText w:val="（%2）"/>
      <w:lvlJc w:val="left"/>
      <w:pPr>
        <w:tabs>
          <w:tab w:val="left" w:pos="1146"/>
        </w:tabs>
        <w:ind w:left="1146" w:hanging="720"/>
      </w:pPr>
      <w:rPr>
        <w:rFonts w:hint="default"/>
      </w:rPr>
    </w:lvl>
    <w:lvl w:ilvl="2" w:tentative="0">
      <w:start w:val="1"/>
      <w:numFmt w:val="lowerRoman"/>
      <w:lvlText w:val="%3."/>
      <w:lvlJc w:val="right"/>
      <w:pPr>
        <w:tabs>
          <w:tab w:val="left" w:pos="2336"/>
        </w:tabs>
        <w:ind w:left="2336" w:hanging="420"/>
      </w:pPr>
    </w:lvl>
    <w:lvl w:ilvl="3" w:tentative="0">
      <w:start w:val="1"/>
      <w:numFmt w:val="decimal"/>
      <w:lvlText w:val="%4."/>
      <w:lvlJc w:val="left"/>
      <w:pPr>
        <w:tabs>
          <w:tab w:val="left" w:pos="2756"/>
        </w:tabs>
        <w:ind w:left="2756" w:hanging="420"/>
      </w:pPr>
    </w:lvl>
    <w:lvl w:ilvl="4" w:tentative="0">
      <w:start w:val="1"/>
      <w:numFmt w:val="lowerLetter"/>
      <w:lvlText w:val="%5)"/>
      <w:lvlJc w:val="left"/>
      <w:pPr>
        <w:tabs>
          <w:tab w:val="left" w:pos="3176"/>
        </w:tabs>
        <w:ind w:left="3176" w:hanging="420"/>
      </w:pPr>
    </w:lvl>
    <w:lvl w:ilvl="5" w:tentative="0">
      <w:start w:val="1"/>
      <w:numFmt w:val="lowerRoman"/>
      <w:lvlText w:val="%6."/>
      <w:lvlJc w:val="right"/>
      <w:pPr>
        <w:tabs>
          <w:tab w:val="left" w:pos="3596"/>
        </w:tabs>
        <w:ind w:left="3596" w:hanging="420"/>
      </w:pPr>
    </w:lvl>
    <w:lvl w:ilvl="6" w:tentative="0">
      <w:start w:val="1"/>
      <w:numFmt w:val="decimal"/>
      <w:lvlText w:val="%7."/>
      <w:lvlJc w:val="left"/>
      <w:pPr>
        <w:tabs>
          <w:tab w:val="left" w:pos="4016"/>
        </w:tabs>
        <w:ind w:left="4016" w:hanging="420"/>
      </w:pPr>
    </w:lvl>
    <w:lvl w:ilvl="7" w:tentative="0">
      <w:start w:val="1"/>
      <w:numFmt w:val="lowerLetter"/>
      <w:lvlText w:val="%8)"/>
      <w:lvlJc w:val="left"/>
      <w:pPr>
        <w:tabs>
          <w:tab w:val="left" w:pos="4436"/>
        </w:tabs>
        <w:ind w:left="4436" w:hanging="420"/>
      </w:pPr>
    </w:lvl>
    <w:lvl w:ilvl="8" w:tentative="0">
      <w:start w:val="1"/>
      <w:numFmt w:val="lowerRoman"/>
      <w:lvlText w:val="%9."/>
      <w:lvlJc w:val="right"/>
      <w:pPr>
        <w:tabs>
          <w:tab w:val="left" w:pos="4856"/>
        </w:tabs>
        <w:ind w:left="4856" w:hanging="420"/>
      </w:pPr>
    </w:lvl>
  </w:abstractNum>
  <w:abstractNum w:abstractNumId="1">
    <w:nsid w:val="310C62CF"/>
    <w:multiLevelType w:val="multilevel"/>
    <w:tmpl w:val="310C62CF"/>
    <w:lvl w:ilvl="0" w:tentative="0">
      <w:start w:val="1"/>
      <w:numFmt w:val="japaneseCounting"/>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1" w:cryptProviderType="rsaFull" w:cryptAlgorithmClass="hash" w:cryptAlgorithmType="typeAny" w:cryptAlgorithmSid="4" w:cryptSpinCount="0" w:hash="Y0gjubxREWbOSIcUDxOKVUqtoVg=" w:salt="gHUpz+HmtEQutYViBhd59A=="/>
  <w:defaultTabStop w:val="420"/>
  <w:drawingGridHorizontalSpacing w:val="9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0NWU5MzE3NDBmNjM3YWY0OWMxYmY3ZTg5NjgwNWEifQ=="/>
  </w:docVars>
  <w:rsids>
    <w:rsidRoot w:val="005D1623"/>
    <w:rsid w:val="00007CA7"/>
    <w:rsid w:val="00012870"/>
    <w:rsid w:val="00013026"/>
    <w:rsid w:val="00044E11"/>
    <w:rsid w:val="00047066"/>
    <w:rsid w:val="00050134"/>
    <w:rsid w:val="0005679B"/>
    <w:rsid w:val="00060B7D"/>
    <w:rsid w:val="00062870"/>
    <w:rsid w:val="00067B8E"/>
    <w:rsid w:val="00067F39"/>
    <w:rsid w:val="000725C5"/>
    <w:rsid w:val="000728DC"/>
    <w:rsid w:val="000763CA"/>
    <w:rsid w:val="00077752"/>
    <w:rsid w:val="00081669"/>
    <w:rsid w:val="00084F79"/>
    <w:rsid w:val="000A7DA0"/>
    <w:rsid w:val="000B1CF7"/>
    <w:rsid w:val="000B314F"/>
    <w:rsid w:val="000B4F28"/>
    <w:rsid w:val="000B626E"/>
    <w:rsid w:val="000C3726"/>
    <w:rsid w:val="000C6BD0"/>
    <w:rsid w:val="000D2AEB"/>
    <w:rsid w:val="000D2BD4"/>
    <w:rsid w:val="000E4FFE"/>
    <w:rsid w:val="000F3D56"/>
    <w:rsid w:val="000F4787"/>
    <w:rsid w:val="000F74AD"/>
    <w:rsid w:val="00104B8C"/>
    <w:rsid w:val="00105B0D"/>
    <w:rsid w:val="0011771D"/>
    <w:rsid w:val="00120FF7"/>
    <w:rsid w:val="0012148D"/>
    <w:rsid w:val="00123BB2"/>
    <w:rsid w:val="0013146B"/>
    <w:rsid w:val="00134A74"/>
    <w:rsid w:val="00141D48"/>
    <w:rsid w:val="00150A60"/>
    <w:rsid w:val="001516CE"/>
    <w:rsid w:val="001549AC"/>
    <w:rsid w:val="00162647"/>
    <w:rsid w:val="00167DE5"/>
    <w:rsid w:val="001729A8"/>
    <w:rsid w:val="00191D57"/>
    <w:rsid w:val="00191DEA"/>
    <w:rsid w:val="00194C37"/>
    <w:rsid w:val="00195993"/>
    <w:rsid w:val="001A5840"/>
    <w:rsid w:val="001B5DB4"/>
    <w:rsid w:val="001C3DDC"/>
    <w:rsid w:val="001C6292"/>
    <w:rsid w:val="001E0191"/>
    <w:rsid w:val="001E06AC"/>
    <w:rsid w:val="001F0C38"/>
    <w:rsid w:val="001F1760"/>
    <w:rsid w:val="001F2B79"/>
    <w:rsid w:val="001F66A4"/>
    <w:rsid w:val="001F68CF"/>
    <w:rsid w:val="001F69ED"/>
    <w:rsid w:val="002015C3"/>
    <w:rsid w:val="0021149B"/>
    <w:rsid w:val="00216C29"/>
    <w:rsid w:val="00221FE5"/>
    <w:rsid w:val="002242D2"/>
    <w:rsid w:val="0022657E"/>
    <w:rsid w:val="00234A26"/>
    <w:rsid w:val="0024093D"/>
    <w:rsid w:val="002511BE"/>
    <w:rsid w:val="00252214"/>
    <w:rsid w:val="00266355"/>
    <w:rsid w:val="00266860"/>
    <w:rsid w:val="0027335F"/>
    <w:rsid w:val="00275376"/>
    <w:rsid w:val="002759C7"/>
    <w:rsid w:val="002800B2"/>
    <w:rsid w:val="00281D03"/>
    <w:rsid w:val="00282133"/>
    <w:rsid w:val="00297293"/>
    <w:rsid w:val="002A0F5E"/>
    <w:rsid w:val="002A591A"/>
    <w:rsid w:val="002C78FF"/>
    <w:rsid w:val="002E2DC7"/>
    <w:rsid w:val="002F252F"/>
    <w:rsid w:val="002F2634"/>
    <w:rsid w:val="00300877"/>
    <w:rsid w:val="003134E5"/>
    <w:rsid w:val="003149A3"/>
    <w:rsid w:val="00322BBA"/>
    <w:rsid w:val="003250C2"/>
    <w:rsid w:val="00336B60"/>
    <w:rsid w:val="0036322E"/>
    <w:rsid w:val="003753F6"/>
    <w:rsid w:val="0039090E"/>
    <w:rsid w:val="0039503C"/>
    <w:rsid w:val="003A4365"/>
    <w:rsid w:val="003A5EEA"/>
    <w:rsid w:val="003A73CD"/>
    <w:rsid w:val="003B473C"/>
    <w:rsid w:val="003B4D39"/>
    <w:rsid w:val="003C4250"/>
    <w:rsid w:val="003D27EB"/>
    <w:rsid w:val="003D67FF"/>
    <w:rsid w:val="003F191C"/>
    <w:rsid w:val="003F5D71"/>
    <w:rsid w:val="00400309"/>
    <w:rsid w:val="00416013"/>
    <w:rsid w:val="0041705E"/>
    <w:rsid w:val="0041728C"/>
    <w:rsid w:val="00417833"/>
    <w:rsid w:val="004317D3"/>
    <w:rsid w:val="0043342D"/>
    <w:rsid w:val="00437546"/>
    <w:rsid w:val="00476E52"/>
    <w:rsid w:val="004808DB"/>
    <w:rsid w:val="004841BF"/>
    <w:rsid w:val="004858DE"/>
    <w:rsid w:val="00486010"/>
    <w:rsid w:val="00486A77"/>
    <w:rsid w:val="00490129"/>
    <w:rsid w:val="00496399"/>
    <w:rsid w:val="00497F3F"/>
    <w:rsid w:val="004A0A1E"/>
    <w:rsid w:val="004A34E0"/>
    <w:rsid w:val="004B0488"/>
    <w:rsid w:val="004B2869"/>
    <w:rsid w:val="004B5AB9"/>
    <w:rsid w:val="004C0D35"/>
    <w:rsid w:val="004C3B71"/>
    <w:rsid w:val="004D2A55"/>
    <w:rsid w:val="004D372B"/>
    <w:rsid w:val="004D3854"/>
    <w:rsid w:val="004D5777"/>
    <w:rsid w:val="004F4D50"/>
    <w:rsid w:val="004F61FD"/>
    <w:rsid w:val="00510FB3"/>
    <w:rsid w:val="00537D8E"/>
    <w:rsid w:val="0054250D"/>
    <w:rsid w:val="00556C87"/>
    <w:rsid w:val="00557432"/>
    <w:rsid w:val="00562370"/>
    <w:rsid w:val="00570D0E"/>
    <w:rsid w:val="00571419"/>
    <w:rsid w:val="00571936"/>
    <w:rsid w:val="005B5B18"/>
    <w:rsid w:val="005C2C15"/>
    <w:rsid w:val="005C4983"/>
    <w:rsid w:val="005D0F68"/>
    <w:rsid w:val="005D1623"/>
    <w:rsid w:val="005D1FCE"/>
    <w:rsid w:val="005F0848"/>
    <w:rsid w:val="005F165E"/>
    <w:rsid w:val="005F57DD"/>
    <w:rsid w:val="00600173"/>
    <w:rsid w:val="00603CA6"/>
    <w:rsid w:val="006117AD"/>
    <w:rsid w:val="00611B79"/>
    <w:rsid w:val="00613CBB"/>
    <w:rsid w:val="00614879"/>
    <w:rsid w:val="0061591D"/>
    <w:rsid w:val="0062703F"/>
    <w:rsid w:val="00632EA0"/>
    <w:rsid w:val="00633F51"/>
    <w:rsid w:val="00637A60"/>
    <w:rsid w:val="00641AE0"/>
    <w:rsid w:val="006501C7"/>
    <w:rsid w:val="0065054C"/>
    <w:rsid w:val="0065356E"/>
    <w:rsid w:val="00660946"/>
    <w:rsid w:val="00667E78"/>
    <w:rsid w:val="00676BF6"/>
    <w:rsid w:val="00681F4B"/>
    <w:rsid w:val="00685FAA"/>
    <w:rsid w:val="006A547C"/>
    <w:rsid w:val="006A7403"/>
    <w:rsid w:val="006A7FDF"/>
    <w:rsid w:val="006B669A"/>
    <w:rsid w:val="006C50EE"/>
    <w:rsid w:val="006F4826"/>
    <w:rsid w:val="006F5D45"/>
    <w:rsid w:val="006F5FDA"/>
    <w:rsid w:val="0070177B"/>
    <w:rsid w:val="00702D3C"/>
    <w:rsid w:val="0070799B"/>
    <w:rsid w:val="00713D96"/>
    <w:rsid w:val="0071531F"/>
    <w:rsid w:val="00717155"/>
    <w:rsid w:val="0073101C"/>
    <w:rsid w:val="00731EF6"/>
    <w:rsid w:val="00740976"/>
    <w:rsid w:val="00750885"/>
    <w:rsid w:val="00754311"/>
    <w:rsid w:val="00761E98"/>
    <w:rsid w:val="00771C80"/>
    <w:rsid w:val="0078133B"/>
    <w:rsid w:val="0079454F"/>
    <w:rsid w:val="007A5DF6"/>
    <w:rsid w:val="007B0231"/>
    <w:rsid w:val="007B2F47"/>
    <w:rsid w:val="007C7519"/>
    <w:rsid w:val="007E0CEC"/>
    <w:rsid w:val="007E2232"/>
    <w:rsid w:val="007F4298"/>
    <w:rsid w:val="007F4AC1"/>
    <w:rsid w:val="007F55CF"/>
    <w:rsid w:val="008003E3"/>
    <w:rsid w:val="0080439D"/>
    <w:rsid w:val="00804699"/>
    <w:rsid w:val="00805968"/>
    <w:rsid w:val="008125F9"/>
    <w:rsid w:val="00816AE6"/>
    <w:rsid w:val="008220ED"/>
    <w:rsid w:val="00823110"/>
    <w:rsid w:val="0083435B"/>
    <w:rsid w:val="008346B6"/>
    <w:rsid w:val="008358BC"/>
    <w:rsid w:val="00837BBD"/>
    <w:rsid w:val="00842CD7"/>
    <w:rsid w:val="008518CC"/>
    <w:rsid w:val="00852F19"/>
    <w:rsid w:val="00860331"/>
    <w:rsid w:val="0086178E"/>
    <w:rsid w:val="008719A1"/>
    <w:rsid w:val="00873F70"/>
    <w:rsid w:val="00875C58"/>
    <w:rsid w:val="008811DF"/>
    <w:rsid w:val="00881215"/>
    <w:rsid w:val="00886B8E"/>
    <w:rsid w:val="00895DC9"/>
    <w:rsid w:val="008A1326"/>
    <w:rsid w:val="008A35B4"/>
    <w:rsid w:val="008A6218"/>
    <w:rsid w:val="008B6B7E"/>
    <w:rsid w:val="008C4381"/>
    <w:rsid w:val="008D4F76"/>
    <w:rsid w:val="008E16F8"/>
    <w:rsid w:val="008E5ABE"/>
    <w:rsid w:val="008F5B95"/>
    <w:rsid w:val="0090057C"/>
    <w:rsid w:val="00903C06"/>
    <w:rsid w:val="00907063"/>
    <w:rsid w:val="0092047C"/>
    <w:rsid w:val="00925865"/>
    <w:rsid w:val="009268D8"/>
    <w:rsid w:val="00930BE4"/>
    <w:rsid w:val="00931328"/>
    <w:rsid w:val="00934CC8"/>
    <w:rsid w:val="00973A31"/>
    <w:rsid w:val="00977F6F"/>
    <w:rsid w:val="009821BD"/>
    <w:rsid w:val="00985240"/>
    <w:rsid w:val="00985670"/>
    <w:rsid w:val="0099387B"/>
    <w:rsid w:val="00994DAB"/>
    <w:rsid w:val="009A2AD0"/>
    <w:rsid w:val="009C4797"/>
    <w:rsid w:val="009D06C3"/>
    <w:rsid w:val="009D0B92"/>
    <w:rsid w:val="009D43EF"/>
    <w:rsid w:val="009F70DA"/>
    <w:rsid w:val="00A00FB9"/>
    <w:rsid w:val="00A10AE5"/>
    <w:rsid w:val="00A20989"/>
    <w:rsid w:val="00A226B3"/>
    <w:rsid w:val="00A22974"/>
    <w:rsid w:val="00A35496"/>
    <w:rsid w:val="00A37304"/>
    <w:rsid w:val="00A41FBD"/>
    <w:rsid w:val="00A52867"/>
    <w:rsid w:val="00A67A26"/>
    <w:rsid w:val="00A77469"/>
    <w:rsid w:val="00A8523E"/>
    <w:rsid w:val="00A92B56"/>
    <w:rsid w:val="00A967B7"/>
    <w:rsid w:val="00AA1E43"/>
    <w:rsid w:val="00AA6E24"/>
    <w:rsid w:val="00AB1174"/>
    <w:rsid w:val="00AB1D81"/>
    <w:rsid w:val="00AB4C48"/>
    <w:rsid w:val="00AD19EE"/>
    <w:rsid w:val="00AD1C4B"/>
    <w:rsid w:val="00AE7D59"/>
    <w:rsid w:val="00AF19C2"/>
    <w:rsid w:val="00AF3697"/>
    <w:rsid w:val="00B15070"/>
    <w:rsid w:val="00B1739E"/>
    <w:rsid w:val="00B25E68"/>
    <w:rsid w:val="00B27C19"/>
    <w:rsid w:val="00B361DE"/>
    <w:rsid w:val="00B44CE0"/>
    <w:rsid w:val="00B518FC"/>
    <w:rsid w:val="00B63BA1"/>
    <w:rsid w:val="00B65DF3"/>
    <w:rsid w:val="00B705BD"/>
    <w:rsid w:val="00B867AE"/>
    <w:rsid w:val="00B8723D"/>
    <w:rsid w:val="00B911A3"/>
    <w:rsid w:val="00B92B46"/>
    <w:rsid w:val="00BA3586"/>
    <w:rsid w:val="00BB0ACA"/>
    <w:rsid w:val="00BB10C8"/>
    <w:rsid w:val="00BB4EF1"/>
    <w:rsid w:val="00BB6C98"/>
    <w:rsid w:val="00BC0722"/>
    <w:rsid w:val="00BC7297"/>
    <w:rsid w:val="00BD1EF8"/>
    <w:rsid w:val="00BD6563"/>
    <w:rsid w:val="00BE06DA"/>
    <w:rsid w:val="00BE1736"/>
    <w:rsid w:val="00BE58CB"/>
    <w:rsid w:val="00BE6796"/>
    <w:rsid w:val="00BE684A"/>
    <w:rsid w:val="00BF0195"/>
    <w:rsid w:val="00BF29CA"/>
    <w:rsid w:val="00BF68B6"/>
    <w:rsid w:val="00C0110A"/>
    <w:rsid w:val="00C04272"/>
    <w:rsid w:val="00C04687"/>
    <w:rsid w:val="00C04FB5"/>
    <w:rsid w:val="00C06BE5"/>
    <w:rsid w:val="00C41566"/>
    <w:rsid w:val="00C45F38"/>
    <w:rsid w:val="00C474F9"/>
    <w:rsid w:val="00C50617"/>
    <w:rsid w:val="00C5154B"/>
    <w:rsid w:val="00C56575"/>
    <w:rsid w:val="00C74B8B"/>
    <w:rsid w:val="00C81993"/>
    <w:rsid w:val="00C90BD8"/>
    <w:rsid w:val="00C97F6C"/>
    <w:rsid w:val="00CA3107"/>
    <w:rsid w:val="00CA7162"/>
    <w:rsid w:val="00CB021D"/>
    <w:rsid w:val="00CB239A"/>
    <w:rsid w:val="00CB2960"/>
    <w:rsid w:val="00CB5080"/>
    <w:rsid w:val="00CB7E21"/>
    <w:rsid w:val="00CC2247"/>
    <w:rsid w:val="00CC2803"/>
    <w:rsid w:val="00CC2A8F"/>
    <w:rsid w:val="00CD09D3"/>
    <w:rsid w:val="00CD208A"/>
    <w:rsid w:val="00CD642A"/>
    <w:rsid w:val="00CE0B8A"/>
    <w:rsid w:val="00CF4C39"/>
    <w:rsid w:val="00D015A2"/>
    <w:rsid w:val="00D03480"/>
    <w:rsid w:val="00D040AE"/>
    <w:rsid w:val="00D1389C"/>
    <w:rsid w:val="00D14C31"/>
    <w:rsid w:val="00D16563"/>
    <w:rsid w:val="00D23AF3"/>
    <w:rsid w:val="00D25549"/>
    <w:rsid w:val="00D3340F"/>
    <w:rsid w:val="00D40F66"/>
    <w:rsid w:val="00D42483"/>
    <w:rsid w:val="00D44477"/>
    <w:rsid w:val="00D55FD4"/>
    <w:rsid w:val="00D61DD6"/>
    <w:rsid w:val="00D64AB3"/>
    <w:rsid w:val="00D72E1A"/>
    <w:rsid w:val="00D7518B"/>
    <w:rsid w:val="00D76640"/>
    <w:rsid w:val="00D823C6"/>
    <w:rsid w:val="00DA00AE"/>
    <w:rsid w:val="00DA318D"/>
    <w:rsid w:val="00DA6A5E"/>
    <w:rsid w:val="00DB070C"/>
    <w:rsid w:val="00DB3285"/>
    <w:rsid w:val="00DC2B09"/>
    <w:rsid w:val="00DC5183"/>
    <w:rsid w:val="00DC6A4B"/>
    <w:rsid w:val="00DE029A"/>
    <w:rsid w:val="00DE29A7"/>
    <w:rsid w:val="00DE36BB"/>
    <w:rsid w:val="00E006C7"/>
    <w:rsid w:val="00E13331"/>
    <w:rsid w:val="00E14011"/>
    <w:rsid w:val="00E15730"/>
    <w:rsid w:val="00E15D15"/>
    <w:rsid w:val="00E21F79"/>
    <w:rsid w:val="00E257F5"/>
    <w:rsid w:val="00E259BB"/>
    <w:rsid w:val="00E30F5A"/>
    <w:rsid w:val="00E32613"/>
    <w:rsid w:val="00E36A7C"/>
    <w:rsid w:val="00E413E7"/>
    <w:rsid w:val="00E42441"/>
    <w:rsid w:val="00E427F2"/>
    <w:rsid w:val="00E50EC8"/>
    <w:rsid w:val="00E51D24"/>
    <w:rsid w:val="00E54810"/>
    <w:rsid w:val="00E6635F"/>
    <w:rsid w:val="00E678AB"/>
    <w:rsid w:val="00E80A4B"/>
    <w:rsid w:val="00EB2672"/>
    <w:rsid w:val="00EB3662"/>
    <w:rsid w:val="00EB7076"/>
    <w:rsid w:val="00ED2FC8"/>
    <w:rsid w:val="00ED3015"/>
    <w:rsid w:val="00ED3E5F"/>
    <w:rsid w:val="00ED6F81"/>
    <w:rsid w:val="00EE0AC9"/>
    <w:rsid w:val="00EE2FCD"/>
    <w:rsid w:val="00EF0377"/>
    <w:rsid w:val="00F06D8F"/>
    <w:rsid w:val="00F07AE8"/>
    <w:rsid w:val="00F15317"/>
    <w:rsid w:val="00F17FDC"/>
    <w:rsid w:val="00F2213C"/>
    <w:rsid w:val="00F252F3"/>
    <w:rsid w:val="00F26AAE"/>
    <w:rsid w:val="00F345DE"/>
    <w:rsid w:val="00F37A22"/>
    <w:rsid w:val="00F50A74"/>
    <w:rsid w:val="00F60FD6"/>
    <w:rsid w:val="00F7797D"/>
    <w:rsid w:val="00F80CDF"/>
    <w:rsid w:val="00F816FB"/>
    <w:rsid w:val="00F817B8"/>
    <w:rsid w:val="00F8794D"/>
    <w:rsid w:val="00FA3FCC"/>
    <w:rsid w:val="00FA66CC"/>
    <w:rsid w:val="00FB16F2"/>
    <w:rsid w:val="00FB5FB2"/>
    <w:rsid w:val="00FC0682"/>
    <w:rsid w:val="00FC17EF"/>
    <w:rsid w:val="00FC1D75"/>
    <w:rsid w:val="00FD295C"/>
    <w:rsid w:val="00FD585F"/>
    <w:rsid w:val="00FD594E"/>
    <w:rsid w:val="00FD6D4D"/>
    <w:rsid w:val="00FE4AEC"/>
    <w:rsid w:val="00FE4BB7"/>
    <w:rsid w:val="00FF312E"/>
    <w:rsid w:val="00FF34CD"/>
    <w:rsid w:val="1BF16652"/>
    <w:rsid w:val="62951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Arial" w:hAnsi="Arial" w:eastAsia="宋体" w:cs="Times New Roman"/>
      <w:spacing w:val="-5"/>
      <w:kern w:val="0"/>
      <w:sz w:val="20"/>
      <w:szCs w:val="20"/>
      <w:lang w:val="en-US" w:eastAsia="zh-CN" w:bidi="ar-SA"/>
    </w:rPr>
  </w:style>
  <w:style w:type="paragraph" w:styleId="2">
    <w:name w:val="heading 1"/>
    <w:basedOn w:val="1"/>
    <w:next w:val="1"/>
    <w:link w:val="47"/>
    <w:autoRedefine/>
    <w:qFormat/>
    <w:uiPriority w:val="0"/>
    <w:pPr>
      <w:keepNext/>
      <w:outlineLvl w:val="0"/>
    </w:pPr>
    <w:rPr>
      <w:rFonts w:ascii="仿宋_GB2312" w:hAnsi="宋体" w:eastAsia="仿宋_GB2312"/>
      <w:b/>
      <w:bCs/>
    </w:rPr>
  </w:style>
  <w:style w:type="paragraph" w:styleId="3">
    <w:name w:val="heading 2"/>
    <w:basedOn w:val="1"/>
    <w:next w:val="1"/>
    <w:link w:val="48"/>
    <w:autoRedefine/>
    <w:qFormat/>
    <w:uiPriority w:val="0"/>
    <w:pPr>
      <w:keepNext/>
      <w:keepLines/>
      <w:spacing w:before="260" w:after="260" w:line="416" w:lineRule="auto"/>
      <w:outlineLvl w:val="1"/>
    </w:pPr>
    <w:rPr>
      <w:rFonts w:eastAsia="黑体"/>
      <w:b/>
      <w:bCs/>
      <w:sz w:val="32"/>
      <w:szCs w:val="32"/>
    </w:rPr>
  </w:style>
  <w:style w:type="paragraph" w:styleId="4">
    <w:name w:val="heading 3"/>
    <w:basedOn w:val="1"/>
    <w:next w:val="1"/>
    <w:link w:val="49"/>
    <w:autoRedefine/>
    <w:qFormat/>
    <w:uiPriority w:val="0"/>
    <w:pPr>
      <w:keepNext/>
      <w:keepLines/>
      <w:spacing w:before="260" w:after="260" w:line="416" w:lineRule="auto"/>
      <w:outlineLvl w:val="2"/>
    </w:pPr>
    <w:rPr>
      <w:b/>
      <w:bCs/>
      <w:sz w:val="32"/>
      <w:szCs w:val="32"/>
    </w:rPr>
  </w:style>
  <w:style w:type="paragraph" w:styleId="5">
    <w:name w:val="heading 4"/>
    <w:basedOn w:val="1"/>
    <w:next w:val="6"/>
    <w:link w:val="50"/>
    <w:autoRedefine/>
    <w:qFormat/>
    <w:uiPriority w:val="0"/>
    <w:pPr>
      <w:keepNext/>
      <w:keepLines/>
      <w:spacing w:line="180" w:lineRule="atLeast"/>
      <w:ind w:left="720"/>
      <w:outlineLvl w:val="3"/>
    </w:pPr>
    <w:rPr>
      <w:rFonts w:ascii="Arial Black" w:hAnsi="Arial Black"/>
      <w:spacing w:val="-2"/>
      <w:kern w:val="28"/>
      <w:sz w:val="18"/>
    </w:rPr>
  </w:style>
  <w:style w:type="paragraph" w:styleId="7">
    <w:name w:val="heading 5"/>
    <w:basedOn w:val="1"/>
    <w:next w:val="6"/>
    <w:link w:val="51"/>
    <w:autoRedefine/>
    <w:qFormat/>
    <w:uiPriority w:val="0"/>
    <w:pPr>
      <w:keepNext/>
      <w:keepLines/>
      <w:spacing w:line="180" w:lineRule="atLeast"/>
      <w:ind w:left="1080"/>
      <w:outlineLvl w:val="4"/>
    </w:pPr>
    <w:rPr>
      <w:rFonts w:ascii="Arial Black" w:hAnsi="Arial Black"/>
      <w:spacing w:val="-2"/>
      <w:kern w:val="28"/>
      <w:sz w:val="18"/>
    </w:rPr>
  </w:style>
  <w:style w:type="paragraph" w:styleId="8">
    <w:name w:val="heading 6"/>
    <w:basedOn w:val="1"/>
    <w:next w:val="1"/>
    <w:link w:val="52"/>
    <w:autoRedefine/>
    <w:qFormat/>
    <w:uiPriority w:val="0"/>
    <w:pPr>
      <w:keepNext/>
      <w:wordWrap w:val="0"/>
      <w:jc w:val="right"/>
      <w:outlineLvl w:val="5"/>
    </w:pPr>
    <w:rPr>
      <w:rFonts w:cs="Arial"/>
      <w:sz w:val="24"/>
    </w:rPr>
  </w:style>
  <w:style w:type="paragraph" w:styleId="9">
    <w:name w:val="heading 7"/>
    <w:basedOn w:val="1"/>
    <w:next w:val="1"/>
    <w:link w:val="53"/>
    <w:autoRedefine/>
    <w:qFormat/>
    <w:uiPriority w:val="0"/>
    <w:pPr>
      <w:keepNext/>
      <w:spacing w:line="360" w:lineRule="auto"/>
      <w:outlineLvl w:val="6"/>
    </w:pPr>
    <w:rPr>
      <w:rFonts w:cs="Arial"/>
      <w:sz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link w:val="54"/>
    <w:autoRedefine/>
    <w:qFormat/>
    <w:uiPriority w:val="0"/>
    <w:pPr>
      <w:spacing w:line="360" w:lineRule="auto"/>
    </w:pPr>
    <w:rPr>
      <w:rFonts w:ascii="宋体" w:hAnsi="宋体"/>
      <w:sz w:val="24"/>
    </w:rPr>
  </w:style>
  <w:style w:type="paragraph" w:styleId="10">
    <w:name w:val="toc 7"/>
    <w:basedOn w:val="1"/>
    <w:next w:val="1"/>
    <w:autoRedefine/>
    <w:semiHidden/>
    <w:qFormat/>
    <w:uiPriority w:val="0"/>
    <w:pPr>
      <w:ind w:left="1260"/>
    </w:pPr>
  </w:style>
  <w:style w:type="paragraph" w:styleId="11">
    <w:name w:val="Normal Indent"/>
    <w:basedOn w:val="1"/>
    <w:uiPriority w:val="0"/>
    <w:pPr>
      <w:ind w:firstLine="420"/>
    </w:pPr>
    <w:rPr>
      <w:rFonts w:ascii="宋体"/>
      <w:color w:val="000000"/>
    </w:rPr>
  </w:style>
  <w:style w:type="paragraph" w:styleId="12">
    <w:name w:val="Document Map"/>
    <w:basedOn w:val="1"/>
    <w:link w:val="205"/>
    <w:autoRedefine/>
    <w:semiHidden/>
    <w:qFormat/>
    <w:uiPriority w:val="0"/>
    <w:pPr>
      <w:shd w:val="clear" w:color="auto" w:fill="000080"/>
    </w:pPr>
  </w:style>
  <w:style w:type="paragraph" w:styleId="13">
    <w:name w:val="annotation text"/>
    <w:basedOn w:val="1"/>
    <w:link w:val="70"/>
    <w:autoRedefine/>
    <w:semiHidden/>
    <w:qFormat/>
    <w:uiPriority w:val="99"/>
  </w:style>
  <w:style w:type="paragraph" w:styleId="14">
    <w:name w:val="Closing"/>
    <w:basedOn w:val="1"/>
    <w:link w:val="206"/>
    <w:uiPriority w:val="0"/>
    <w:pPr>
      <w:keepNext/>
      <w:spacing w:line="220" w:lineRule="atLeast"/>
    </w:pPr>
  </w:style>
  <w:style w:type="paragraph" w:styleId="15">
    <w:name w:val="Body Text Indent"/>
    <w:basedOn w:val="1"/>
    <w:link w:val="56"/>
    <w:autoRedefine/>
    <w:qFormat/>
    <w:uiPriority w:val="0"/>
    <w:pPr>
      <w:autoSpaceDE w:val="0"/>
      <w:autoSpaceDN w:val="0"/>
      <w:adjustRightInd w:val="0"/>
      <w:ind w:firstLine="840"/>
    </w:pPr>
    <w:rPr>
      <w:rFonts w:ascii="宋体"/>
      <w:sz w:val="28"/>
    </w:rPr>
  </w:style>
  <w:style w:type="paragraph" w:styleId="16">
    <w:name w:val="toc 5"/>
    <w:basedOn w:val="1"/>
    <w:next w:val="1"/>
    <w:autoRedefine/>
    <w:semiHidden/>
    <w:qFormat/>
    <w:uiPriority w:val="0"/>
    <w:pPr>
      <w:ind w:left="840"/>
    </w:pPr>
  </w:style>
  <w:style w:type="paragraph" w:styleId="17">
    <w:name w:val="toc 3"/>
    <w:basedOn w:val="1"/>
    <w:next w:val="1"/>
    <w:autoRedefine/>
    <w:semiHidden/>
    <w:qFormat/>
    <w:uiPriority w:val="0"/>
    <w:pPr>
      <w:ind w:left="840" w:leftChars="400"/>
    </w:pPr>
  </w:style>
  <w:style w:type="paragraph" w:styleId="18">
    <w:name w:val="Plain Text"/>
    <w:basedOn w:val="1"/>
    <w:link w:val="59"/>
    <w:autoRedefine/>
    <w:qFormat/>
    <w:uiPriority w:val="0"/>
    <w:rPr>
      <w:rFonts w:ascii="仿宋_GB2312" w:hAnsi="Courier New" w:eastAsia="仿宋_GB2312"/>
      <w:sz w:val="28"/>
      <w:szCs w:val="21"/>
    </w:rPr>
  </w:style>
  <w:style w:type="paragraph" w:styleId="19">
    <w:name w:val="toc 8"/>
    <w:basedOn w:val="1"/>
    <w:next w:val="1"/>
    <w:autoRedefine/>
    <w:semiHidden/>
    <w:qFormat/>
    <w:uiPriority w:val="0"/>
    <w:pPr>
      <w:ind w:left="1470"/>
    </w:pPr>
  </w:style>
  <w:style w:type="paragraph" w:styleId="20">
    <w:name w:val="Date"/>
    <w:basedOn w:val="1"/>
    <w:next w:val="1"/>
    <w:link w:val="72"/>
    <w:autoRedefine/>
    <w:qFormat/>
    <w:uiPriority w:val="0"/>
  </w:style>
  <w:style w:type="paragraph" w:styleId="21">
    <w:name w:val="Body Text Indent 2"/>
    <w:basedOn w:val="1"/>
    <w:link w:val="57"/>
    <w:autoRedefine/>
    <w:qFormat/>
    <w:uiPriority w:val="0"/>
    <w:pPr>
      <w:spacing w:line="360" w:lineRule="auto"/>
      <w:ind w:firstLine="539"/>
    </w:pPr>
    <w:rPr>
      <w:rFonts w:ascii="宋体" w:hAnsi="宋体"/>
      <w:sz w:val="24"/>
    </w:rPr>
  </w:style>
  <w:style w:type="paragraph" w:styleId="22">
    <w:name w:val="Balloon Text"/>
    <w:basedOn w:val="1"/>
    <w:link w:val="61"/>
    <w:autoRedefine/>
    <w:semiHidden/>
    <w:qFormat/>
    <w:uiPriority w:val="0"/>
    <w:rPr>
      <w:sz w:val="18"/>
      <w:szCs w:val="18"/>
    </w:rPr>
  </w:style>
  <w:style w:type="paragraph" w:styleId="23">
    <w:name w:val="footer"/>
    <w:basedOn w:val="1"/>
    <w:link w:val="46"/>
    <w:autoRedefine/>
    <w:unhideWhenUsed/>
    <w:qFormat/>
    <w:uiPriority w:val="99"/>
    <w:pPr>
      <w:tabs>
        <w:tab w:val="center" w:pos="4153"/>
        <w:tab w:val="right" w:pos="8306"/>
      </w:tabs>
      <w:snapToGrid w:val="0"/>
    </w:pPr>
    <w:rPr>
      <w:sz w:val="18"/>
      <w:szCs w:val="18"/>
    </w:rPr>
  </w:style>
  <w:style w:type="paragraph" w:styleId="24">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ignature"/>
    <w:basedOn w:val="6"/>
    <w:link w:val="217"/>
    <w:autoRedefine/>
    <w:qFormat/>
    <w:uiPriority w:val="0"/>
    <w:pPr>
      <w:keepNext/>
      <w:keepLines/>
      <w:spacing w:before="660" w:line="180" w:lineRule="atLeast"/>
    </w:pPr>
    <w:rPr>
      <w:rFonts w:ascii="Arial" w:hAnsi="Arial"/>
      <w:sz w:val="20"/>
    </w:rPr>
  </w:style>
  <w:style w:type="paragraph" w:styleId="26">
    <w:name w:val="toc 1"/>
    <w:basedOn w:val="1"/>
    <w:next w:val="1"/>
    <w:autoRedefine/>
    <w:semiHidden/>
    <w:qFormat/>
    <w:uiPriority w:val="0"/>
    <w:pPr>
      <w:tabs>
        <w:tab w:val="left" w:pos="1050"/>
        <w:tab w:val="right" w:leader="dot" w:pos="8296"/>
      </w:tabs>
      <w:spacing w:line="480" w:lineRule="auto"/>
    </w:pPr>
  </w:style>
  <w:style w:type="paragraph" w:styleId="27">
    <w:name w:val="toc 4"/>
    <w:basedOn w:val="1"/>
    <w:next w:val="1"/>
    <w:autoRedefine/>
    <w:semiHidden/>
    <w:qFormat/>
    <w:uiPriority w:val="0"/>
    <w:pPr>
      <w:ind w:left="630"/>
    </w:pPr>
  </w:style>
  <w:style w:type="paragraph" w:styleId="28">
    <w:name w:val="toc 6"/>
    <w:basedOn w:val="1"/>
    <w:next w:val="1"/>
    <w:autoRedefine/>
    <w:semiHidden/>
    <w:qFormat/>
    <w:uiPriority w:val="0"/>
    <w:pPr>
      <w:ind w:left="1050"/>
    </w:pPr>
  </w:style>
  <w:style w:type="paragraph" w:styleId="29">
    <w:name w:val="Body Text Indent 3"/>
    <w:basedOn w:val="1"/>
    <w:link w:val="58"/>
    <w:autoRedefine/>
    <w:qFormat/>
    <w:uiPriority w:val="0"/>
    <w:pPr>
      <w:spacing w:line="360" w:lineRule="auto"/>
      <w:ind w:firstLine="360"/>
    </w:pPr>
    <w:rPr>
      <w:rFonts w:ascii="宋体" w:hAnsi="宋体"/>
      <w:sz w:val="24"/>
    </w:rPr>
  </w:style>
  <w:style w:type="paragraph" w:styleId="30">
    <w:name w:val="toc 2"/>
    <w:basedOn w:val="1"/>
    <w:next w:val="1"/>
    <w:autoRedefine/>
    <w:semiHidden/>
    <w:qFormat/>
    <w:uiPriority w:val="0"/>
    <w:pPr>
      <w:tabs>
        <w:tab w:val="left" w:pos="1260"/>
        <w:tab w:val="right" w:leader="dot" w:pos="8265"/>
      </w:tabs>
    </w:pPr>
  </w:style>
  <w:style w:type="paragraph" w:styleId="31">
    <w:name w:val="toc 9"/>
    <w:basedOn w:val="1"/>
    <w:next w:val="1"/>
    <w:autoRedefine/>
    <w:semiHidden/>
    <w:qFormat/>
    <w:uiPriority w:val="0"/>
    <w:pPr>
      <w:ind w:left="1680"/>
    </w:pPr>
  </w:style>
  <w:style w:type="paragraph" w:styleId="32">
    <w:name w:val="Body Text 2"/>
    <w:basedOn w:val="1"/>
    <w:link w:val="62"/>
    <w:autoRedefine/>
    <w:qFormat/>
    <w:uiPriority w:val="0"/>
    <w:pPr>
      <w:spacing w:after="120" w:line="480" w:lineRule="auto"/>
    </w:pPr>
  </w:style>
  <w:style w:type="paragraph" w:styleId="33">
    <w:name w:val="Message Header"/>
    <w:basedOn w:val="6"/>
    <w:link w:val="212"/>
    <w:qFormat/>
    <w:uiPriority w:val="0"/>
    <w:pPr>
      <w:keepLines/>
      <w:spacing w:after="120" w:line="180" w:lineRule="atLeast"/>
      <w:ind w:left="720" w:hanging="720"/>
    </w:pPr>
    <w:rPr>
      <w:rFonts w:ascii="Arial" w:hAnsi="Arial"/>
      <w:sz w:val="20"/>
    </w:rPr>
  </w:style>
  <w:style w:type="paragraph" w:styleId="34">
    <w:name w:val="HTML Preformatted"/>
    <w:basedOn w:val="1"/>
    <w:link w:val="69"/>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ourier New"/>
    </w:rPr>
  </w:style>
  <w:style w:type="paragraph" w:styleId="35">
    <w:name w:val="Normal (Web)"/>
    <w:basedOn w:val="1"/>
    <w:autoRedefine/>
    <w:qFormat/>
    <w:uiPriority w:val="0"/>
    <w:pPr>
      <w:spacing w:before="100" w:beforeAutospacing="1" w:after="100" w:afterAutospacing="1"/>
    </w:pPr>
    <w:rPr>
      <w:rFonts w:ascii="宋体" w:hAnsi="宋体"/>
      <w:sz w:val="24"/>
      <w:lang w:eastAsia="en-US"/>
    </w:rPr>
  </w:style>
  <w:style w:type="paragraph" w:styleId="36">
    <w:name w:val="annotation subject"/>
    <w:basedOn w:val="13"/>
    <w:next w:val="13"/>
    <w:link w:val="71"/>
    <w:autoRedefine/>
    <w:semiHidden/>
    <w:qFormat/>
    <w:uiPriority w:val="0"/>
    <w:rPr>
      <w:b/>
      <w:bCs/>
    </w:rPr>
  </w:style>
  <w:style w:type="table" w:styleId="38">
    <w:name w:val="Table Grid"/>
    <w:basedOn w:val="37"/>
    <w:autoRedefine/>
    <w:uiPriority w:val="0"/>
    <w:rPr>
      <w:rFonts w:ascii="Times New Roman" w:hAnsi="Times New Roman" w:eastAsia="PMingLiU"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22"/>
    <w:rPr>
      <w:b/>
      <w:bCs/>
    </w:rPr>
  </w:style>
  <w:style w:type="character" w:styleId="41">
    <w:name w:val="page number"/>
    <w:basedOn w:val="39"/>
    <w:autoRedefine/>
    <w:qFormat/>
    <w:uiPriority w:val="0"/>
  </w:style>
  <w:style w:type="character" w:styleId="42">
    <w:name w:val="FollowedHyperlink"/>
    <w:basedOn w:val="39"/>
    <w:autoRedefine/>
    <w:qFormat/>
    <w:uiPriority w:val="0"/>
    <w:rPr>
      <w:color w:val="800080"/>
      <w:u w:val="single"/>
    </w:rPr>
  </w:style>
  <w:style w:type="character" w:styleId="43">
    <w:name w:val="Hyperlink"/>
    <w:basedOn w:val="39"/>
    <w:autoRedefine/>
    <w:qFormat/>
    <w:uiPriority w:val="0"/>
    <w:rPr>
      <w:color w:val="0000FF"/>
      <w:u w:val="single"/>
    </w:rPr>
  </w:style>
  <w:style w:type="character" w:styleId="44">
    <w:name w:val="annotation reference"/>
    <w:basedOn w:val="39"/>
    <w:autoRedefine/>
    <w:semiHidden/>
    <w:uiPriority w:val="99"/>
    <w:rPr>
      <w:sz w:val="21"/>
      <w:szCs w:val="21"/>
    </w:rPr>
  </w:style>
  <w:style w:type="character" w:customStyle="1" w:styleId="45">
    <w:name w:val="页眉 Char"/>
    <w:basedOn w:val="39"/>
    <w:link w:val="24"/>
    <w:autoRedefine/>
    <w:uiPriority w:val="99"/>
    <w:rPr>
      <w:sz w:val="18"/>
      <w:szCs w:val="18"/>
    </w:rPr>
  </w:style>
  <w:style w:type="character" w:customStyle="1" w:styleId="46">
    <w:name w:val="页脚 Char"/>
    <w:basedOn w:val="39"/>
    <w:link w:val="23"/>
    <w:autoRedefine/>
    <w:qFormat/>
    <w:uiPriority w:val="99"/>
    <w:rPr>
      <w:sz w:val="18"/>
      <w:szCs w:val="18"/>
    </w:rPr>
  </w:style>
  <w:style w:type="character" w:customStyle="1" w:styleId="47">
    <w:name w:val="标题 1 Char"/>
    <w:basedOn w:val="39"/>
    <w:link w:val="2"/>
    <w:autoRedefine/>
    <w:qFormat/>
    <w:uiPriority w:val="0"/>
    <w:rPr>
      <w:rFonts w:ascii="仿宋_GB2312" w:hAnsi="宋体" w:eastAsia="仿宋_GB2312" w:cs="Times New Roman"/>
      <w:b/>
      <w:bCs/>
      <w:spacing w:val="-5"/>
      <w:kern w:val="0"/>
      <w:sz w:val="20"/>
      <w:szCs w:val="20"/>
    </w:rPr>
  </w:style>
  <w:style w:type="character" w:customStyle="1" w:styleId="48">
    <w:name w:val="标题 2 Char"/>
    <w:basedOn w:val="39"/>
    <w:link w:val="3"/>
    <w:autoRedefine/>
    <w:qFormat/>
    <w:uiPriority w:val="0"/>
    <w:rPr>
      <w:rFonts w:ascii="Arial" w:hAnsi="Arial" w:eastAsia="黑体" w:cs="Times New Roman"/>
      <w:b/>
      <w:bCs/>
      <w:spacing w:val="-5"/>
      <w:kern w:val="0"/>
      <w:sz w:val="32"/>
      <w:szCs w:val="32"/>
    </w:rPr>
  </w:style>
  <w:style w:type="character" w:customStyle="1" w:styleId="49">
    <w:name w:val="标题 3 Char"/>
    <w:basedOn w:val="39"/>
    <w:link w:val="4"/>
    <w:autoRedefine/>
    <w:qFormat/>
    <w:uiPriority w:val="0"/>
    <w:rPr>
      <w:rFonts w:ascii="Arial" w:hAnsi="Arial" w:eastAsia="宋体" w:cs="Times New Roman"/>
      <w:b/>
      <w:bCs/>
      <w:spacing w:val="-5"/>
      <w:kern w:val="0"/>
      <w:sz w:val="32"/>
      <w:szCs w:val="32"/>
    </w:rPr>
  </w:style>
  <w:style w:type="character" w:customStyle="1" w:styleId="50">
    <w:name w:val="标题 4 Char"/>
    <w:basedOn w:val="39"/>
    <w:link w:val="5"/>
    <w:autoRedefine/>
    <w:qFormat/>
    <w:uiPriority w:val="0"/>
    <w:rPr>
      <w:rFonts w:ascii="Arial Black" w:hAnsi="Arial Black" w:eastAsia="宋体" w:cs="Times New Roman"/>
      <w:spacing w:val="-2"/>
      <w:kern w:val="28"/>
      <w:sz w:val="18"/>
      <w:szCs w:val="20"/>
    </w:rPr>
  </w:style>
  <w:style w:type="character" w:customStyle="1" w:styleId="51">
    <w:name w:val="标题 5 Char"/>
    <w:basedOn w:val="39"/>
    <w:link w:val="7"/>
    <w:autoRedefine/>
    <w:qFormat/>
    <w:uiPriority w:val="0"/>
    <w:rPr>
      <w:rFonts w:ascii="Arial Black" w:hAnsi="Arial Black" w:eastAsia="宋体" w:cs="Times New Roman"/>
      <w:spacing w:val="-2"/>
      <w:kern w:val="28"/>
      <w:sz w:val="18"/>
      <w:szCs w:val="20"/>
    </w:rPr>
  </w:style>
  <w:style w:type="character" w:customStyle="1" w:styleId="52">
    <w:name w:val="标题 6 Char"/>
    <w:basedOn w:val="39"/>
    <w:link w:val="8"/>
    <w:autoRedefine/>
    <w:qFormat/>
    <w:uiPriority w:val="0"/>
    <w:rPr>
      <w:rFonts w:ascii="Arial" w:hAnsi="Arial" w:eastAsia="宋体" w:cs="Arial"/>
      <w:spacing w:val="-5"/>
      <w:kern w:val="0"/>
      <w:sz w:val="24"/>
      <w:szCs w:val="20"/>
    </w:rPr>
  </w:style>
  <w:style w:type="character" w:customStyle="1" w:styleId="53">
    <w:name w:val="标题 7 Char"/>
    <w:basedOn w:val="39"/>
    <w:link w:val="9"/>
    <w:autoRedefine/>
    <w:qFormat/>
    <w:uiPriority w:val="0"/>
    <w:rPr>
      <w:rFonts w:ascii="Arial" w:hAnsi="Arial" w:eastAsia="宋体" w:cs="Arial"/>
      <w:spacing w:val="-5"/>
      <w:kern w:val="0"/>
      <w:sz w:val="24"/>
      <w:szCs w:val="20"/>
    </w:rPr>
  </w:style>
  <w:style w:type="character" w:customStyle="1" w:styleId="54">
    <w:name w:val="正文文本 Char"/>
    <w:basedOn w:val="39"/>
    <w:link w:val="6"/>
    <w:autoRedefine/>
    <w:qFormat/>
    <w:uiPriority w:val="0"/>
    <w:rPr>
      <w:rFonts w:ascii="宋体" w:hAnsi="宋体" w:eastAsia="宋体" w:cs="Times New Roman"/>
      <w:spacing w:val="-5"/>
      <w:kern w:val="0"/>
      <w:sz w:val="24"/>
      <w:szCs w:val="20"/>
    </w:rPr>
  </w:style>
  <w:style w:type="paragraph" w:customStyle="1" w:styleId="55">
    <w:name w:val="普通 (Web)"/>
    <w:basedOn w:val="1"/>
    <w:autoRedefine/>
    <w:qFormat/>
    <w:uiPriority w:val="0"/>
    <w:pPr>
      <w:spacing w:before="100" w:beforeAutospacing="1" w:after="100" w:afterAutospacing="1"/>
    </w:pPr>
    <w:rPr>
      <w:rFonts w:ascii="Arial Unicode MS" w:hAnsi="Arial Unicode MS" w:eastAsia="Arial Unicode MS" w:cs="黑体"/>
      <w:sz w:val="24"/>
    </w:rPr>
  </w:style>
  <w:style w:type="character" w:customStyle="1" w:styleId="56">
    <w:name w:val="正文文本缩进 Char"/>
    <w:basedOn w:val="39"/>
    <w:link w:val="15"/>
    <w:autoRedefine/>
    <w:qFormat/>
    <w:uiPriority w:val="0"/>
    <w:rPr>
      <w:rFonts w:ascii="宋体" w:hAnsi="Arial" w:eastAsia="宋体" w:cs="Times New Roman"/>
      <w:spacing w:val="-5"/>
      <w:kern w:val="0"/>
      <w:sz w:val="28"/>
      <w:szCs w:val="20"/>
    </w:rPr>
  </w:style>
  <w:style w:type="character" w:customStyle="1" w:styleId="57">
    <w:name w:val="正文文本缩进 2 Char"/>
    <w:basedOn w:val="39"/>
    <w:link w:val="21"/>
    <w:autoRedefine/>
    <w:uiPriority w:val="0"/>
    <w:rPr>
      <w:rFonts w:ascii="宋体" w:hAnsi="宋体" w:eastAsia="宋体" w:cs="Times New Roman"/>
      <w:spacing w:val="-5"/>
      <w:kern w:val="0"/>
      <w:sz w:val="24"/>
      <w:szCs w:val="20"/>
    </w:rPr>
  </w:style>
  <w:style w:type="character" w:customStyle="1" w:styleId="58">
    <w:name w:val="正文文本缩进 3 Char"/>
    <w:basedOn w:val="39"/>
    <w:link w:val="29"/>
    <w:autoRedefine/>
    <w:qFormat/>
    <w:uiPriority w:val="0"/>
    <w:rPr>
      <w:rFonts w:ascii="宋体" w:hAnsi="宋体" w:eastAsia="宋体" w:cs="Times New Roman"/>
      <w:spacing w:val="-5"/>
      <w:kern w:val="0"/>
      <w:sz w:val="24"/>
      <w:szCs w:val="20"/>
    </w:rPr>
  </w:style>
  <w:style w:type="character" w:customStyle="1" w:styleId="59">
    <w:name w:val="纯文本 Char"/>
    <w:basedOn w:val="39"/>
    <w:link w:val="18"/>
    <w:uiPriority w:val="0"/>
    <w:rPr>
      <w:rFonts w:ascii="仿宋_GB2312" w:hAnsi="Courier New" w:eastAsia="仿宋_GB2312" w:cs="Times New Roman"/>
      <w:spacing w:val="-5"/>
      <w:kern w:val="0"/>
      <w:sz w:val="28"/>
      <w:szCs w:val="21"/>
    </w:rPr>
  </w:style>
  <w:style w:type="character" w:customStyle="1" w:styleId="60">
    <w:name w:val="hangju3"/>
    <w:basedOn w:val="39"/>
    <w:autoRedefine/>
    <w:qFormat/>
    <w:uiPriority w:val="0"/>
    <w:rPr>
      <w:spacing w:val="300"/>
      <w:sz w:val="21"/>
      <w:szCs w:val="21"/>
    </w:rPr>
  </w:style>
  <w:style w:type="character" w:customStyle="1" w:styleId="61">
    <w:name w:val="批注框文本 Char"/>
    <w:basedOn w:val="39"/>
    <w:link w:val="22"/>
    <w:semiHidden/>
    <w:uiPriority w:val="0"/>
    <w:rPr>
      <w:rFonts w:ascii="Arial" w:hAnsi="Arial" w:eastAsia="宋体" w:cs="Times New Roman"/>
      <w:spacing w:val="-5"/>
      <w:kern w:val="0"/>
      <w:sz w:val="18"/>
      <w:szCs w:val="18"/>
    </w:rPr>
  </w:style>
  <w:style w:type="character" w:customStyle="1" w:styleId="62">
    <w:name w:val="正文文本 2 Char"/>
    <w:basedOn w:val="39"/>
    <w:link w:val="32"/>
    <w:autoRedefine/>
    <w:qFormat/>
    <w:uiPriority w:val="0"/>
    <w:rPr>
      <w:rFonts w:ascii="Arial" w:hAnsi="Arial" w:eastAsia="宋体" w:cs="Times New Roman"/>
      <w:spacing w:val="-5"/>
      <w:kern w:val="0"/>
      <w:sz w:val="20"/>
      <w:szCs w:val="20"/>
    </w:rPr>
  </w:style>
  <w:style w:type="paragraph" w:customStyle="1" w:styleId="63">
    <w:name w:val="Body Text 21"/>
    <w:basedOn w:val="1"/>
    <w:autoRedefine/>
    <w:qFormat/>
    <w:uiPriority w:val="0"/>
    <w:pPr>
      <w:adjustRightInd w:val="0"/>
      <w:jc w:val="center"/>
      <w:textAlignment w:val="baseline"/>
    </w:pPr>
  </w:style>
  <w:style w:type="paragraph" w:customStyle="1" w:styleId="64">
    <w:name w:val="Body Text 31"/>
    <w:basedOn w:val="1"/>
    <w:autoRedefine/>
    <w:qFormat/>
    <w:uiPriority w:val="0"/>
    <w:pPr>
      <w:adjustRightInd w:val="0"/>
      <w:textAlignment w:val="baseline"/>
    </w:pPr>
    <w:rPr>
      <w:sz w:val="24"/>
    </w:rPr>
  </w:style>
  <w:style w:type="paragraph" w:customStyle="1" w:styleId="65">
    <w:name w:val="Body Text Indent 21"/>
    <w:basedOn w:val="1"/>
    <w:autoRedefine/>
    <w:qFormat/>
    <w:uiPriority w:val="0"/>
    <w:pPr>
      <w:adjustRightInd w:val="0"/>
      <w:spacing w:line="360" w:lineRule="auto"/>
      <w:ind w:firstLine="360"/>
      <w:textAlignment w:val="baseline"/>
    </w:pPr>
    <w:rPr>
      <w:sz w:val="24"/>
    </w:rPr>
  </w:style>
  <w:style w:type="paragraph" w:customStyle="1" w:styleId="66">
    <w:name w:val="content"/>
    <w:basedOn w:val="1"/>
    <w:autoRedefine/>
    <w:qFormat/>
    <w:uiPriority w:val="0"/>
    <w:pPr>
      <w:spacing w:before="100" w:beforeAutospacing="1" w:after="100" w:afterAutospacing="1"/>
    </w:pPr>
    <w:rPr>
      <w:rFonts w:ascii="Arial Unicode MS" w:hAnsi="Arial Unicode MS" w:eastAsia="Arial Unicode MS"/>
      <w:szCs w:val="21"/>
      <w:lang w:eastAsia="en-US"/>
    </w:rPr>
  </w:style>
  <w:style w:type="paragraph" w:customStyle="1" w:styleId="67">
    <w:name w:val="章"/>
    <w:basedOn w:val="2"/>
    <w:autoRedefine/>
    <w:qFormat/>
    <w:uiPriority w:val="0"/>
    <w:pPr>
      <w:keepLines/>
      <w:tabs>
        <w:tab w:val="left" w:pos="1077"/>
      </w:tabs>
      <w:spacing w:beforeLines="100" w:afterLines="100"/>
      <w:ind w:left="1077" w:hanging="1077"/>
      <w:jc w:val="center"/>
    </w:pPr>
    <w:rPr>
      <w:rFonts w:ascii="Times New Roman" w:hAnsi="Times New Roman" w:eastAsia="黑体"/>
      <w:b w:val="0"/>
      <w:bCs w:val="0"/>
      <w:kern w:val="44"/>
      <w:sz w:val="30"/>
      <w:szCs w:val="44"/>
    </w:rPr>
  </w:style>
  <w:style w:type="paragraph" w:customStyle="1" w:styleId="68">
    <w:name w:val="条"/>
    <w:basedOn w:val="1"/>
    <w:autoRedefine/>
    <w:qFormat/>
    <w:uiPriority w:val="0"/>
    <w:pPr>
      <w:tabs>
        <w:tab w:val="left" w:pos="0"/>
      </w:tabs>
      <w:spacing w:beforeLines="100"/>
      <w:ind w:hanging="420"/>
      <w:outlineLvl w:val="2"/>
    </w:pPr>
    <w:rPr>
      <w:sz w:val="24"/>
    </w:rPr>
  </w:style>
  <w:style w:type="character" w:customStyle="1" w:styleId="69">
    <w:name w:val="HTML 预设格式 Char"/>
    <w:basedOn w:val="39"/>
    <w:link w:val="34"/>
    <w:autoRedefine/>
    <w:uiPriority w:val="0"/>
    <w:rPr>
      <w:rFonts w:ascii="黑体" w:hAnsi="Courier New" w:eastAsia="黑体" w:cs="Courier New"/>
      <w:spacing w:val="-5"/>
      <w:kern w:val="0"/>
      <w:sz w:val="20"/>
      <w:szCs w:val="20"/>
    </w:rPr>
  </w:style>
  <w:style w:type="character" w:customStyle="1" w:styleId="70">
    <w:name w:val="批注文字 Char"/>
    <w:basedOn w:val="39"/>
    <w:link w:val="13"/>
    <w:autoRedefine/>
    <w:semiHidden/>
    <w:qFormat/>
    <w:uiPriority w:val="99"/>
    <w:rPr>
      <w:rFonts w:ascii="Arial" w:hAnsi="Arial" w:eastAsia="宋体" w:cs="Times New Roman"/>
      <w:spacing w:val="-5"/>
      <w:kern w:val="0"/>
      <w:sz w:val="20"/>
      <w:szCs w:val="20"/>
    </w:rPr>
  </w:style>
  <w:style w:type="character" w:customStyle="1" w:styleId="71">
    <w:name w:val="批注主题 Char"/>
    <w:basedOn w:val="70"/>
    <w:link w:val="36"/>
    <w:autoRedefine/>
    <w:semiHidden/>
    <w:qFormat/>
    <w:uiPriority w:val="0"/>
    <w:rPr>
      <w:rFonts w:ascii="Arial" w:hAnsi="Arial" w:eastAsia="宋体" w:cs="Times New Roman"/>
      <w:b/>
      <w:bCs/>
      <w:spacing w:val="-5"/>
      <w:kern w:val="0"/>
      <w:sz w:val="20"/>
      <w:szCs w:val="20"/>
    </w:rPr>
  </w:style>
  <w:style w:type="character" w:customStyle="1" w:styleId="72">
    <w:name w:val="日期 Char"/>
    <w:basedOn w:val="39"/>
    <w:link w:val="20"/>
    <w:autoRedefine/>
    <w:qFormat/>
    <w:uiPriority w:val="0"/>
    <w:rPr>
      <w:rFonts w:ascii="Arial" w:hAnsi="Arial" w:eastAsia="宋体" w:cs="Times New Roman"/>
      <w:spacing w:val="-5"/>
      <w:kern w:val="0"/>
      <w:sz w:val="20"/>
      <w:szCs w:val="20"/>
    </w:rPr>
  </w:style>
  <w:style w:type="paragraph" w:customStyle="1" w:styleId="73">
    <w:name w:val="标题1"/>
    <w:basedOn w:val="1"/>
    <w:autoRedefine/>
    <w:qFormat/>
    <w:uiPriority w:val="0"/>
    <w:pPr>
      <w:shd w:val="clear" w:color="auto" w:fill="F7AA00"/>
      <w:spacing w:before="100" w:beforeAutospacing="1" w:after="100" w:afterAutospacing="1"/>
    </w:pPr>
    <w:rPr>
      <w:rFonts w:ascii="ˎ̥" w:hAnsi="ˎ̥"/>
      <w:b/>
      <w:bCs/>
      <w:color w:val="FFFFFF"/>
      <w:sz w:val="18"/>
      <w:szCs w:val="18"/>
    </w:rPr>
  </w:style>
  <w:style w:type="paragraph" w:customStyle="1" w:styleId="74">
    <w:name w:val="条文格式"/>
    <w:basedOn w:val="1"/>
    <w:autoRedefine/>
    <w:qFormat/>
    <w:uiPriority w:val="0"/>
    <w:pPr>
      <w:spacing w:line="360" w:lineRule="auto"/>
    </w:pPr>
    <w:rPr>
      <w:sz w:val="24"/>
    </w:rPr>
  </w:style>
  <w:style w:type="paragraph" w:customStyle="1" w:styleId="75">
    <w:name w:val="样式2"/>
    <w:basedOn w:val="2"/>
    <w:autoRedefine/>
    <w:qFormat/>
    <w:uiPriority w:val="0"/>
    <w:pPr>
      <w:keepLines/>
      <w:tabs>
        <w:tab w:val="left" w:pos="420"/>
      </w:tabs>
      <w:spacing w:after="220" w:line="200" w:lineRule="atLeast"/>
      <w:ind w:left="851" w:hanging="851"/>
    </w:pPr>
    <w:rPr>
      <w:rFonts w:ascii="Arial Black" w:hAnsi="Arial Black" w:eastAsia="宋体"/>
      <w:bCs w:val="0"/>
      <w:spacing w:val="-10"/>
      <w:kern w:val="28"/>
      <w:sz w:val="30"/>
    </w:rPr>
  </w:style>
  <w:style w:type="paragraph" w:customStyle="1" w:styleId="76">
    <w:name w:val="1)样式"/>
    <w:basedOn w:val="1"/>
    <w:autoRedefine/>
    <w:qFormat/>
    <w:uiPriority w:val="0"/>
    <w:pPr>
      <w:tabs>
        <w:tab w:val="left" w:pos="420"/>
      </w:tabs>
      <w:spacing w:line="360" w:lineRule="auto"/>
      <w:ind w:left="420" w:hanging="420"/>
    </w:pPr>
    <w:rPr>
      <w:sz w:val="24"/>
    </w:rPr>
  </w:style>
  <w:style w:type="paragraph" w:customStyle="1" w:styleId="77">
    <w:name w:val="title1"/>
    <w:basedOn w:val="1"/>
    <w:autoRedefine/>
    <w:qFormat/>
    <w:uiPriority w:val="0"/>
    <w:pPr>
      <w:numPr>
        <w:ilvl w:val="1"/>
        <w:numId w:val="1"/>
      </w:numPr>
      <w:tabs>
        <w:tab w:val="clear" w:pos="1146"/>
      </w:tabs>
      <w:spacing w:before="100" w:beforeAutospacing="1" w:after="100" w:afterAutospacing="1"/>
      <w:ind w:left="0" w:firstLine="0"/>
      <w:textAlignment w:val="bottom"/>
    </w:pPr>
    <w:rPr>
      <w:rFonts w:ascii="ˎ̥" w:hAnsi="ˎ̥"/>
      <w:b/>
      <w:bCs/>
      <w:color w:val="000000"/>
      <w:spacing w:val="75"/>
      <w:sz w:val="18"/>
      <w:szCs w:val="18"/>
    </w:rPr>
  </w:style>
  <w:style w:type="paragraph" w:customStyle="1" w:styleId="78">
    <w:name w:val="title2"/>
    <w:basedOn w:val="1"/>
    <w:autoRedefine/>
    <w:qFormat/>
    <w:uiPriority w:val="0"/>
    <w:pPr>
      <w:numPr>
        <w:ilvl w:val="0"/>
        <w:numId w:val="1"/>
      </w:numPr>
      <w:tabs>
        <w:tab w:val="clear" w:pos="1496"/>
      </w:tabs>
      <w:spacing w:before="100" w:beforeAutospacing="1" w:after="100" w:afterAutospacing="1"/>
      <w:ind w:left="0" w:firstLine="0"/>
      <w:textAlignment w:val="bottom"/>
    </w:pPr>
    <w:rPr>
      <w:rFonts w:ascii="ˎ̥" w:hAnsi="ˎ̥"/>
      <w:b/>
      <w:bCs/>
      <w:color w:val="000000"/>
      <w:sz w:val="18"/>
      <w:szCs w:val="18"/>
    </w:rPr>
  </w:style>
  <w:style w:type="paragraph" w:customStyle="1" w:styleId="79">
    <w:name w:val="title3"/>
    <w:basedOn w:val="1"/>
    <w:autoRedefine/>
    <w:qFormat/>
    <w:uiPriority w:val="0"/>
    <w:pPr>
      <w:spacing w:before="100" w:beforeAutospacing="1" w:after="100" w:afterAutospacing="1"/>
      <w:textAlignment w:val="bottom"/>
    </w:pPr>
    <w:rPr>
      <w:rFonts w:ascii="ˎ̥" w:hAnsi="ˎ̥"/>
      <w:b/>
      <w:bCs/>
      <w:color w:val="FF0000"/>
      <w:spacing w:val="75"/>
      <w:sz w:val="18"/>
      <w:szCs w:val="18"/>
    </w:rPr>
  </w:style>
  <w:style w:type="paragraph" w:customStyle="1" w:styleId="80">
    <w:name w:val="title4"/>
    <w:basedOn w:val="1"/>
    <w:autoRedefine/>
    <w:qFormat/>
    <w:uiPriority w:val="0"/>
    <w:pPr>
      <w:spacing w:before="100" w:beforeAutospacing="1" w:after="100" w:afterAutospacing="1"/>
      <w:textAlignment w:val="bottom"/>
    </w:pPr>
    <w:rPr>
      <w:rFonts w:ascii="ˎ̥" w:hAnsi="ˎ̥"/>
      <w:b/>
      <w:bCs/>
      <w:color w:val="FF0000"/>
      <w:sz w:val="18"/>
      <w:szCs w:val="18"/>
    </w:rPr>
  </w:style>
  <w:style w:type="paragraph" w:customStyle="1" w:styleId="81">
    <w:name w:val="title5"/>
    <w:basedOn w:val="1"/>
    <w:autoRedefine/>
    <w:qFormat/>
    <w:uiPriority w:val="0"/>
    <w:pPr>
      <w:shd w:val="clear" w:color="auto" w:fill="E0DFE3"/>
      <w:spacing w:before="100" w:beforeAutospacing="1" w:after="100" w:afterAutospacing="1"/>
    </w:pPr>
    <w:rPr>
      <w:rFonts w:ascii="ˎ̥" w:hAnsi="ˎ̥"/>
      <w:b/>
      <w:bCs/>
      <w:color w:val="191411"/>
      <w:sz w:val="18"/>
      <w:szCs w:val="18"/>
    </w:rPr>
  </w:style>
  <w:style w:type="paragraph" w:customStyle="1" w:styleId="82">
    <w:name w:val="title6"/>
    <w:basedOn w:val="1"/>
    <w:autoRedefine/>
    <w:qFormat/>
    <w:uiPriority w:val="0"/>
    <w:pPr>
      <w:shd w:val="clear" w:color="auto" w:fill="E0DFE3"/>
      <w:spacing w:before="100" w:beforeAutospacing="1" w:after="100" w:afterAutospacing="1"/>
    </w:pPr>
    <w:rPr>
      <w:rFonts w:ascii="ˎ̥" w:hAnsi="ˎ̥"/>
      <w:b/>
      <w:bCs/>
      <w:color w:val="191411"/>
      <w:spacing w:val="75"/>
      <w:sz w:val="18"/>
      <w:szCs w:val="18"/>
    </w:rPr>
  </w:style>
  <w:style w:type="paragraph" w:customStyle="1" w:styleId="83">
    <w:name w:val="title7"/>
    <w:basedOn w:val="1"/>
    <w:autoRedefine/>
    <w:qFormat/>
    <w:uiPriority w:val="0"/>
    <w:pPr>
      <w:spacing w:before="100" w:beforeAutospacing="1" w:after="100" w:afterAutospacing="1"/>
      <w:ind w:firstLine="225"/>
    </w:pPr>
    <w:rPr>
      <w:rFonts w:ascii="宋体" w:hAnsi="宋体"/>
      <w:color w:val="FFFFFF"/>
      <w:sz w:val="24"/>
    </w:rPr>
  </w:style>
  <w:style w:type="paragraph" w:customStyle="1" w:styleId="84">
    <w:name w:val="title8"/>
    <w:basedOn w:val="1"/>
    <w:autoRedefine/>
    <w:qFormat/>
    <w:uiPriority w:val="0"/>
    <w:pPr>
      <w:shd w:val="clear" w:color="auto" w:fill="EEEEEE"/>
      <w:spacing w:before="100" w:beforeAutospacing="1" w:after="100" w:afterAutospacing="1"/>
    </w:pPr>
    <w:rPr>
      <w:rFonts w:ascii="ˎ̥" w:hAnsi="ˎ̥"/>
      <w:b/>
      <w:bCs/>
      <w:color w:val="000000"/>
      <w:sz w:val="18"/>
      <w:szCs w:val="18"/>
    </w:rPr>
  </w:style>
  <w:style w:type="paragraph" w:customStyle="1" w:styleId="85">
    <w:name w:val="kuang1"/>
    <w:basedOn w:val="1"/>
    <w:autoRedefine/>
    <w:qFormat/>
    <w:uiPriority w:val="0"/>
    <w:pPr>
      <w:shd w:val="clear" w:color="auto" w:fill="C0C0C0"/>
      <w:spacing w:before="100" w:beforeAutospacing="1" w:after="100" w:afterAutospacing="1"/>
    </w:pPr>
    <w:rPr>
      <w:rFonts w:ascii="宋体" w:hAnsi="宋体"/>
      <w:sz w:val="24"/>
    </w:rPr>
  </w:style>
  <w:style w:type="paragraph" w:customStyle="1" w:styleId="86">
    <w:name w:val="kuang2"/>
    <w:basedOn w:val="1"/>
    <w:autoRedefine/>
    <w:qFormat/>
    <w:uiPriority w:val="0"/>
    <w:pPr>
      <w:shd w:val="clear" w:color="auto" w:fill="F7AA00"/>
      <w:spacing w:before="100" w:beforeAutospacing="1" w:after="100" w:afterAutospacing="1"/>
    </w:pPr>
    <w:rPr>
      <w:rFonts w:ascii="宋体" w:hAnsi="宋体"/>
      <w:sz w:val="24"/>
    </w:rPr>
  </w:style>
  <w:style w:type="paragraph" w:customStyle="1" w:styleId="87">
    <w:name w:val="kuang3"/>
    <w:basedOn w:val="1"/>
    <w:autoRedefine/>
    <w:qFormat/>
    <w:uiPriority w:val="0"/>
    <w:pPr>
      <w:shd w:val="clear" w:color="auto" w:fill="FFFFFF"/>
      <w:spacing w:before="100" w:beforeAutospacing="1" w:after="100" w:afterAutospacing="1"/>
    </w:pPr>
    <w:rPr>
      <w:rFonts w:ascii="宋体" w:hAnsi="宋体"/>
      <w:sz w:val="24"/>
    </w:rPr>
  </w:style>
  <w:style w:type="paragraph" w:customStyle="1" w:styleId="88">
    <w:name w:val="div"/>
    <w:basedOn w:val="1"/>
    <w:autoRedefine/>
    <w:qFormat/>
    <w:uiPriority w:val="0"/>
    <w:pPr>
      <w:pBdr>
        <w:top w:val="single" w:color="C0C0C0" w:sz="6" w:space="0"/>
        <w:left w:val="single" w:color="C0C0C0" w:sz="6" w:space="0"/>
        <w:bottom w:val="single" w:color="C0C0C0" w:sz="6" w:space="0"/>
        <w:right w:val="single" w:color="C0C0C0" w:sz="6" w:space="0"/>
      </w:pBdr>
      <w:shd w:val="clear" w:color="auto" w:fill="FFFFFF"/>
      <w:spacing w:before="100" w:beforeAutospacing="1" w:after="100" w:afterAutospacing="1"/>
    </w:pPr>
    <w:rPr>
      <w:rFonts w:ascii="宋体" w:hAnsi="宋体"/>
      <w:sz w:val="24"/>
    </w:rPr>
  </w:style>
  <w:style w:type="paragraph" w:customStyle="1" w:styleId="89">
    <w:name w:val="td1"/>
    <w:basedOn w:val="1"/>
    <w:autoRedefine/>
    <w:qFormat/>
    <w:uiPriority w:val="0"/>
    <w:pPr>
      <w:shd w:val="clear" w:color="auto" w:fill="FFFFFF"/>
      <w:spacing w:before="100" w:beforeAutospacing="1" w:after="100" w:afterAutospacing="1"/>
      <w:ind w:firstLine="75"/>
    </w:pPr>
    <w:rPr>
      <w:rFonts w:ascii="ˎ̥" w:hAnsi="ˎ̥"/>
      <w:color w:val="000000"/>
      <w:sz w:val="18"/>
      <w:szCs w:val="18"/>
    </w:rPr>
  </w:style>
  <w:style w:type="paragraph" w:customStyle="1" w:styleId="90">
    <w:name w:val="td11"/>
    <w:basedOn w:val="1"/>
    <w:autoRedefine/>
    <w:qFormat/>
    <w:uiPriority w:val="0"/>
    <w:pPr>
      <w:shd w:val="clear" w:color="auto" w:fill="FFFFFF"/>
      <w:spacing w:before="100" w:beforeAutospacing="1" w:after="100" w:afterAutospacing="1"/>
      <w:jc w:val="right"/>
    </w:pPr>
    <w:rPr>
      <w:rFonts w:ascii="ˎ̥" w:hAnsi="ˎ̥"/>
      <w:color w:val="000000"/>
      <w:sz w:val="18"/>
      <w:szCs w:val="18"/>
    </w:rPr>
  </w:style>
  <w:style w:type="paragraph" w:customStyle="1" w:styleId="91">
    <w:name w:val="td111"/>
    <w:basedOn w:val="1"/>
    <w:autoRedefine/>
    <w:qFormat/>
    <w:uiPriority w:val="0"/>
    <w:pPr>
      <w:shd w:val="clear" w:color="auto" w:fill="FFFFFF"/>
      <w:spacing w:before="100" w:beforeAutospacing="1" w:after="100" w:afterAutospacing="1"/>
      <w:jc w:val="center"/>
    </w:pPr>
    <w:rPr>
      <w:rFonts w:ascii="ˎ̥" w:hAnsi="ˎ̥"/>
      <w:color w:val="000000"/>
      <w:sz w:val="18"/>
      <w:szCs w:val="18"/>
    </w:rPr>
  </w:style>
  <w:style w:type="paragraph" w:customStyle="1" w:styleId="92">
    <w:name w:val="td2"/>
    <w:basedOn w:val="1"/>
    <w:autoRedefine/>
    <w:qFormat/>
    <w:uiPriority w:val="0"/>
    <w:pPr>
      <w:shd w:val="clear" w:color="auto" w:fill="FFFFFF"/>
      <w:spacing w:before="100" w:beforeAutospacing="1" w:after="100" w:afterAutospacing="1"/>
      <w:ind w:firstLine="75"/>
    </w:pPr>
    <w:rPr>
      <w:rFonts w:ascii="ˎ̥" w:hAnsi="ˎ̥"/>
      <w:color w:val="000000"/>
      <w:sz w:val="18"/>
      <w:szCs w:val="18"/>
    </w:rPr>
  </w:style>
  <w:style w:type="paragraph" w:customStyle="1" w:styleId="93">
    <w:name w:val="td3"/>
    <w:basedOn w:val="1"/>
    <w:autoRedefine/>
    <w:qFormat/>
    <w:uiPriority w:val="0"/>
    <w:pPr>
      <w:shd w:val="clear" w:color="auto" w:fill="FFFFFF"/>
      <w:spacing w:before="100" w:beforeAutospacing="1" w:after="100" w:afterAutospacing="1"/>
      <w:jc w:val="center"/>
      <w:textAlignment w:val="bottom"/>
    </w:pPr>
    <w:rPr>
      <w:rFonts w:ascii="ˎ̥" w:hAnsi="ˎ̥"/>
      <w:color w:val="000000"/>
      <w:sz w:val="18"/>
      <w:szCs w:val="18"/>
    </w:rPr>
  </w:style>
  <w:style w:type="paragraph" w:customStyle="1" w:styleId="94">
    <w:name w:val="td4"/>
    <w:basedOn w:val="1"/>
    <w:autoRedefine/>
    <w:qFormat/>
    <w:uiPriority w:val="0"/>
    <w:pPr>
      <w:shd w:val="clear" w:color="auto" w:fill="FFFFFF"/>
      <w:spacing w:before="100" w:beforeAutospacing="1" w:after="100" w:afterAutospacing="1"/>
      <w:jc w:val="center"/>
      <w:textAlignment w:val="center"/>
    </w:pPr>
    <w:rPr>
      <w:rFonts w:ascii="ˎ̥" w:hAnsi="ˎ̥"/>
      <w:color w:val="000000"/>
      <w:sz w:val="18"/>
      <w:szCs w:val="18"/>
    </w:rPr>
  </w:style>
  <w:style w:type="paragraph" w:customStyle="1" w:styleId="95">
    <w:name w:val="td5"/>
    <w:basedOn w:val="1"/>
    <w:autoRedefine/>
    <w:qFormat/>
    <w:uiPriority w:val="0"/>
    <w:pPr>
      <w:shd w:val="clear" w:color="auto" w:fill="FFFFFF"/>
      <w:spacing w:before="100" w:beforeAutospacing="1" w:after="100" w:afterAutospacing="1"/>
      <w:jc w:val="center"/>
      <w:textAlignment w:val="bottom"/>
    </w:pPr>
    <w:rPr>
      <w:rFonts w:ascii="ˎ̥" w:hAnsi="ˎ̥"/>
      <w:color w:val="000000"/>
      <w:sz w:val="18"/>
      <w:szCs w:val="18"/>
    </w:rPr>
  </w:style>
  <w:style w:type="paragraph" w:customStyle="1" w:styleId="96">
    <w:name w:val="input1"/>
    <w:basedOn w:val="1"/>
    <w:autoRedefine/>
    <w:qFormat/>
    <w:uiPriority w:val="0"/>
    <w:pPr>
      <w:spacing w:before="100" w:beforeAutospacing="1" w:after="100" w:afterAutospacing="1"/>
    </w:pPr>
    <w:rPr>
      <w:rFonts w:ascii="ˎ̥" w:hAnsi="ˎ̥"/>
      <w:sz w:val="18"/>
      <w:szCs w:val="18"/>
    </w:rPr>
  </w:style>
  <w:style w:type="paragraph" w:customStyle="1" w:styleId="97">
    <w:name w:val="input11"/>
    <w:basedOn w:val="1"/>
    <w:autoRedefine/>
    <w:qFormat/>
    <w:uiPriority w:val="0"/>
    <w:pPr>
      <w:shd w:val="clear" w:color="auto" w:fill="D8D8D8"/>
      <w:spacing w:before="100" w:beforeAutospacing="1" w:after="100" w:afterAutospacing="1"/>
    </w:pPr>
    <w:rPr>
      <w:rFonts w:ascii="ˎ̥" w:hAnsi="ˎ̥"/>
      <w:sz w:val="18"/>
      <w:szCs w:val="18"/>
    </w:rPr>
  </w:style>
  <w:style w:type="paragraph" w:customStyle="1" w:styleId="98">
    <w:name w:val="input3"/>
    <w:basedOn w:val="1"/>
    <w:autoRedefine/>
    <w:qFormat/>
    <w:uiPriority w:val="0"/>
    <w:pPr>
      <w:spacing w:before="100" w:beforeAutospacing="1" w:after="100" w:afterAutospacing="1"/>
    </w:pPr>
    <w:rPr>
      <w:rFonts w:ascii="ˎ̥" w:hAnsi="ˎ̥"/>
      <w:sz w:val="18"/>
      <w:szCs w:val="18"/>
    </w:rPr>
  </w:style>
  <w:style w:type="paragraph" w:customStyle="1" w:styleId="99">
    <w:name w:val="input33"/>
    <w:basedOn w:val="1"/>
    <w:autoRedefine/>
    <w:qFormat/>
    <w:uiPriority w:val="0"/>
    <w:pPr>
      <w:shd w:val="clear" w:color="auto" w:fill="D8D8D8"/>
      <w:spacing w:before="100" w:beforeAutospacing="1" w:after="100" w:afterAutospacing="1"/>
    </w:pPr>
    <w:rPr>
      <w:rFonts w:ascii="ˎ̥" w:hAnsi="ˎ̥"/>
      <w:sz w:val="18"/>
      <w:szCs w:val="18"/>
    </w:rPr>
  </w:style>
  <w:style w:type="paragraph" w:customStyle="1" w:styleId="100">
    <w:name w:val="input5"/>
    <w:basedOn w:val="1"/>
    <w:autoRedefine/>
    <w:qFormat/>
    <w:uiPriority w:val="0"/>
    <w:pPr>
      <w:spacing w:before="100" w:beforeAutospacing="1" w:after="100" w:afterAutospacing="1"/>
    </w:pPr>
    <w:rPr>
      <w:rFonts w:ascii="ˎ̥" w:hAnsi="ˎ̥"/>
      <w:sz w:val="18"/>
      <w:szCs w:val="18"/>
    </w:rPr>
  </w:style>
  <w:style w:type="paragraph" w:customStyle="1" w:styleId="101">
    <w:name w:val="input55"/>
    <w:basedOn w:val="1"/>
    <w:autoRedefine/>
    <w:qFormat/>
    <w:uiPriority w:val="0"/>
    <w:pPr>
      <w:shd w:val="clear" w:color="auto" w:fill="D8D8D8"/>
      <w:spacing w:before="100" w:beforeAutospacing="1" w:after="100" w:afterAutospacing="1"/>
    </w:pPr>
    <w:rPr>
      <w:rFonts w:ascii="ˎ̥" w:hAnsi="ˎ̥"/>
      <w:sz w:val="18"/>
      <w:szCs w:val="18"/>
    </w:rPr>
  </w:style>
  <w:style w:type="paragraph" w:customStyle="1" w:styleId="102">
    <w:name w:val="input7"/>
    <w:basedOn w:val="1"/>
    <w:qFormat/>
    <w:uiPriority w:val="0"/>
    <w:pPr>
      <w:spacing w:before="100" w:beforeAutospacing="1" w:after="100" w:afterAutospacing="1"/>
    </w:pPr>
    <w:rPr>
      <w:rFonts w:ascii="ˎ̥" w:hAnsi="ˎ̥"/>
      <w:sz w:val="18"/>
      <w:szCs w:val="18"/>
    </w:rPr>
  </w:style>
  <w:style w:type="paragraph" w:customStyle="1" w:styleId="103">
    <w:name w:val="input77"/>
    <w:basedOn w:val="1"/>
    <w:qFormat/>
    <w:uiPriority w:val="0"/>
    <w:pPr>
      <w:shd w:val="clear" w:color="auto" w:fill="D8D8D8"/>
      <w:spacing w:before="100" w:beforeAutospacing="1" w:after="100" w:afterAutospacing="1"/>
    </w:pPr>
    <w:rPr>
      <w:rFonts w:ascii="ˎ̥" w:hAnsi="ˎ̥"/>
      <w:sz w:val="18"/>
      <w:szCs w:val="18"/>
    </w:rPr>
  </w:style>
  <w:style w:type="paragraph" w:customStyle="1" w:styleId="104">
    <w:name w:val="input9"/>
    <w:basedOn w:val="1"/>
    <w:autoRedefine/>
    <w:qFormat/>
    <w:uiPriority w:val="0"/>
    <w:pPr>
      <w:spacing w:before="100" w:beforeAutospacing="1" w:after="100" w:afterAutospacing="1"/>
    </w:pPr>
    <w:rPr>
      <w:rFonts w:ascii="ˎ̥" w:hAnsi="ˎ̥"/>
      <w:sz w:val="18"/>
      <w:szCs w:val="18"/>
    </w:rPr>
  </w:style>
  <w:style w:type="paragraph" w:customStyle="1" w:styleId="105">
    <w:name w:val="input99"/>
    <w:basedOn w:val="1"/>
    <w:autoRedefine/>
    <w:qFormat/>
    <w:uiPriority w:val="0"/>
    <w:pPr>
      <w:shd w:val="clear" w:color="auto" w:fill="D8D8D8"/>
      <w:spacing w:before="100" w:beforeAutospacing="1" w:after="100" w:afterAutospacing="1"/>
    </w:pPr>
    <w:rPr>
      <w:rFonts w:ascii="ˎ̥" w:hAnsi="ˎ̥"/>
      <w:sz w:val="18"/>
      <w:szCs w:val="18"/>
    </w:rPr>
  </w:style>
  <w:style w:type="paragraph" w:customStyle="1" w:styleId="106">
    <w:name w:val="input10"/>
    <w:basedOn w:val="1"/>
    <w:qFormat/>
    <w:uiPriority w:val="0"/>
    <w:pPr>
      <w:spacing w:before="100" w:beforeAutospacing="1" w:after="100" w:afterAutospacing="1"/>
    </w:pPr>
    <w:rPr>
      <w:rFonts w:ascii="宋体" w:hAnsi="宋体"/>
      <w:sz w:val="24"/>
    </w:rPr>
  </w:style>
  <w:style w:type="paragraph" w:customStyle="1" w:styleId="107">
    <w:name w:val="botton"/>
    <w:basedOn w:val="1"/>
    <w:uiPriority w:val="0"/>
    <w:pPr>
      <w:pBdr>
        <w:top w:val="outset" w:color="FFFFFF" w:sz="24" w:space="0"/>
        <w:left w:val="outset" w:color="FFFFFF" w:sz="24" w:space="0"/>
        <w:bottom w:val="outset" w:color="E0DFE3" w:sz="24" w:space="0"/>
        <w:right w:val="outset" w:color="E0DFE3" w:sz="24" w:space="0"/>
      </w:pBdr>
      <w:shd w:val="clear" w:color="auto" w:fill="E0DFE3"/>
      <w:spacing w:before="100" w:beforeAutospacing="1" w:after="100" w:afterAutospacing="1"/>
      <w:jc w:val="center"/>
      <w:textAlignment w:val="center"/>
    </w:pPr>
    <w:rPr>
      <w:rFonts w:ascii="ˎ̥" w:hAnsi="ˎ̥"/>
      <w:color w:val="000000"/>
      <w:sz w:val="18"/>
      <w:szCs w:val="18"/>
    </w:rPr>
  </w:style>
  <w:style w:type="paragraph" w:customStyle="1" w:styleId="108">
    <w:name w:val="botton1"/>
    <w:basedOn w:val="1"/>
    <w:autoRedefine/>
    <w:qFormat/>
    <w:uiPriority w:val="0"/>
    <w:pPr>
      <w:pBdr>
        <w:top w:val="outset" w:color="FFFFFF" w:sz="24" w:space="0"/>
        <w:left w:val="outset" w:color="FFFFFF" w:sz="24" w:space="0"/>
        <w:bottom w:val="outset" w:color="E0DFE3" w:sz="24" w:space="0"/>
        <w:right w:val="outset" w:color="E0DFE3" w:sz="24" w:space="0"/>
      </w:pBdr>
      <w:shd w:val="clear" w:color="auto" w:fill="E0DFE3"/>
      <w:spacing w:before="100" w:beforeAutospacing="1" w:after="100" w:afterAutospacing="1"/>
      <w:jc w:val="center"/>
      <w:textAlignment w:val="center"/>
    </w:pPr>
    <w:rPr>
      <w:rFonts w:ascii="ˎ̥" w:hAnsi="ˎ̥"/>
      <w:color w:val="000000"/>
      <w:sz w:val="18"/>
      <w:szCs w:val="18"/>
    </w:rPr>
  </w:style>
  <w:style w:type="paragraph" w:customStyle="1" w:styleId="109">
    <w:name w:val="botton2"/>
    <w:basedOn w:val="1"/>
    <w:qFormat/>
    <w:uiPriority w:val="0"/>
    <w:pPr>
      <w:pBdr>
        <w:top w:val="outset" w:color="FFFFFF" w:sz="24" w:space="0"/>
        <w:left w:val="outset" w:color="FFFFFF" w:sz="24" w:space="0"/>
        <w:bottom w:val="outset" w:color="E0DFE3" w:sz="24" w:space="0"/>
        <w:right w:val="outset" w:color="E0DFE3" w:sz="24" w:space="0"/>
      </w:pBdr>
      <w:shd w:val="clear" w:color="auto" w:fill="E0DFE3"/>
      <w:spacing w:before="100" w:beforeAutospacing="1" w:after="100" w:afterAutospacing="1"/>
      <w:jc w:val="center"/>
      <w:textAlignment w:val="center"/>
    </w:pPr>
    <w:rPr>
      <w:rFonts w:ascii="ˎ̥" w:hAnsi="ˎ̥"/>
      <w:color w:val="000000"/>
      <w:sz w:val="18"/>
      <w:szCs w:val="18"/>
    </w:rPr>
  </w:style>
  <w:style w:type="paragraph" w:customStyle="1" w:styleId="110">
    <w:name w:val="botton3"/>
    <w:basedOn w:val="1"/>
    <w:qFormat/>
    <w:uiPriority w:val="0"/>
    <w:pPr>
      <w:pBdr>
        <w:top w:val="outset" w:color="FFFFFF" w:sz="24" w:space="0"/>
        <w:left w:val="outset" w:color="FFFFFF" w:sz="24" w:space="0"/>
        <w:bottom w:val="outset" w:color="E0DFE3" w:sz="24" w:space="0"/>
        <w:right w:val="outset" w:color="E0DFE3" w:sz="24" w:space="0"/>
      </w:pBdr>
      <w:shd w:val="clear" w:color="auto" w:fill="E0DFE3"/>
      <w:spacing w:before="100" w:beforeAutospacing="1" w:after="100" w:afterAutospacing="1"/>
      <w:jc w:val="center"/>
      <w:textAlignment w:val="center"/>
    </w:pPr>
    <w:rPr>
      <w:rFonts w:ascii="ˎ̥" w:hAnsi="ˎ̥"/>
      <w:color w:val="000000"/>
      <w:sz w:val="18"/>
      <w:szCs w:val="18"/>
    </w:rPr>
  </w:style>
  <w:style w:type="paragraph" w:customStyle="1" w:styleId="111">
    <w:name w:val="botton0"/>
    <w:basedOn w:val="1"/>
    <w:uiPriority w:val="0"/>
    <w:pPr>
      <w:pBdr>
        <w:top w:val="outset" w:color="FFFFFF" w:sz="24" w:space="0"/>
        <w:left w:val="outset" w:color="FFFFFF" w:sz="24" w:space="0"/>
        <w:bottom w:val="outset" w:color="E0DFE3" w:sz="24" w:space="0"/>
        <w:right w:val="outset" w:color="E0DFE3" w:sz="24" w:space="0"/>
      </w:pBdr>
      <w:shd w:val="clear" w:color="auto" w:fill="F7AA00"/>
      <w:spacing w:before="100" w:beforeAutospacing="1" w:after="100" w:afterAutospacing="1"/>
      <w:jc w:val="center"/>
      <w:textAlignment w:val="center"/>
    </w:pPr>
    <w:rPr>
      <w:rFonts w:ascii="ˎ̥" w:hAnsi="ˎ̥"/>
      <w:color w:val="000000"/>
      <w:sz w:val="18"/>
      <w:szCs w:val="18"/>
    </w:rPr>
  </w:style>
  <w:style w:type="paragraph" w:customStyle="1" w:styleId="112">
    <w:name w:val="botton11"/>
    <w:basedOn w:val="1"/>
    <w:autoRedefine/>
    <w:qFormat/>
    <w:uiPriority w:val="0"/>
    <w:pPr>
      <w:pBdr>
        <w:top w:val="outset" w:color="FFFFFF" w:sz="24" w:space="0"/>
        <w:left w:val="outset" w:color="FFFFFF" w:sz="24" w:space="0"/>
        <w:bottom w:val="outset" w:color="E0DFE3" w:sz="24" w:space="0"/>
        <w:right w:val="outset" w:color="E0DFE3" w:sz="24" w:space="0"/>
      </w:pBdr>
      <w:shd w:val="clear" w:color="auto" w:fill="F7AA00"/>
      <w:spacing w:before="100" w:beforeAutospacing="1" w:after="100" w:afterAutospacing="1"/>
      <w:jc w:val="center"/>
      <w:textAlignment w:val="center"/>
    </w:pPr>
    <w:rPr>
      <w:rFonts w:ascii="ˎ̥" w:hAnsi="ˎ̥"/>
      <w:color w:val="000000"/>
      <w:sz w:val="18"/>
      <w:szCs w:val="18"/>
    </w:rPr>
  </w:style>
  <w:style w:type="paragraph" w:customStyle="1" w:styleId="113">
    <w:name w:val="botton22"/>
    <w:basedOn w:val="1"/>
    <w:autoRedefine/>
    <w:qFormat/>
    <w:uiPriority w:val="0"/>
    <w:pPr>
      <w:pBdr>
        <w:top w:val="outset" w:color="FFFFFF" w:sz="24" w:space="0"/>
        <w:left w:val="outset" w:color="FFFFFF" w:sz="24" w:space="0"/>
        <w:bottom w:val="outset" w:color="E0DFE3" w:sz="24" w:space="0"/>
        <w:right w:val="outset" w:color="E0DFE3" w:sz="24" w:space="0"/>
      </w:pBdr>
      <w:shd w:val="clear" w:color="auto" w:fill="F7AA00"/>
      <w:spacing w:before="100" w:beforeAutospacing="1" w:after="100" w:afterAutospacing="1"/>
      <w:jc w:val="center"/>
      <w:textAlignment w:val="center"/>
    </w:pPr>
    <w:rPr>
      <w:rFonts w:ascii="ˎ̥" w:hAnsi="ˎ̥"/>
      <w:color w:val="000000"/>
      <w:sz w:val="18"/>
      <w:szCs w:val="18"/>
    </w:rPr>
  </w:style>
  <w:style w:type="paragraph" w:customStyle="1" w:styleId="114">
    <w:name w:val="botton33"/>
    <w:basedOn w:val="1"/>
    <w:uiPriority w:val="0"/>
    <w:pPr>
      <w:pBdr>
        <w:top w:val="outset" w:color="FFFFFF" w:sz="24" w:space="0"/>
        <w:left w:val="outset" w:color="FFFFFF" w:sz="24" w:space="0"/>
        <w:bottom w:val="outset" w:color="E0DFE3" w:sz="24" w:space="0"/>
        <w:right w:val="outset" w:color="E0DFE3" w:sz="24" w:space="0"/>
      </w:pBdr>
      <w:shd w:val="clear" w:color="auto" w:fill="F7AA00"/>
      <w:spacing w:before="100" w:beforeAutospacing="1" w:after="100" w:afterAutospacing="1"/>
      <w:jc w:val="center"/>
      <w:textAlignment w:val="center"/>
    </w:pPr>
    <w:rPr>
      <w:rFonts w:ascii="ˎ̥" w:hAnsi="ˎ̥"/>
      <w:color w:val="000000"/>
      <w:sz w:val="18"/>
      <w:szCs w:val="18"/>
    </w:rPr>
  </w:style>
  <w:style w:type="paragraph" w:customStyle="1" w:styleId="115">
    <w:name w:val="sec2"/>
    <w:basedOn w:val="1"/>
    <w:uiPriority w:val="0"/>
    <w:pPr>
      <w:pBdr>
        <w:bottom w:val="single" w:color="auto" w:sz="6" w:space="0"/>
      </w:pBdr>
      <w:shd w:val="clear" w:color="auto" w:fill="F7AA00"/>
      <w:spacing w:before="100" w:beforeAutospacing="1" w:after="100" w:afterAutospacing="1"/>
    </w:pPr>
    <w:rPr>
      <w:rFonts w:ascii="宋体" w:hAnsi="宋体"/>
      <w:b/>
      <w:bCs/>
      <w:color w:val="000000"/>
      <w:spacing w:val="75"/>
      <w:sz w:val="24"/>
    </w:rPr>
  </w:style>
  <w:style w:type="paragraph" w:customStyle="1" w:styleId="116">
    <w:name w:val="sec1"/>
    <w:basedOn w:val="1"/>
    <w:qFormat/>
    <w:uiPriority w:val="0"/>
    <w:pPr>
      <w:pBdr>
        <w:top w:val="single" w:color="C0C0C0" w:sz="6" w:space="0"/>
        <w:left w:val="single" w:color="C0C0C0" w:sz="6" w:space="0"/>
        <w:bottom w:val="single" w:color="auto" w:sz="6" w:space="0"/>
        <w:right w:val="single" w:color="C0C0C0" w:sz="6" w:space="0"/>
      </w:pBdr>
      <w:shd w:val="clear" w:color="auto" w:fill="FFFFFF"/>
      <w:spacing w:before="100" w:beforeAutospacing="1" w:after="100" w:afterAutospacing="1"/>
    </w:pPr>
    <w:rPr>
      <w:rFonts w:ascii="宋体" w:hAnsi="宋体"/>
      <w:color w:val="808080"/>
      <w:sz w:val="24"/>
    </w:rPr>
  </w:style>
  <w:style w:type="paragraph" w:customStyle="1" w:styleId="117">
    <w:name w:val="main_tab"/>
    <w:basedOn w:val="1"/>
    <w:qFormat/>
    <w:uiPriority w:val="0"/>
    <w:pPr>
      <w:shd w:val="clear" w:color="auto" w:fill="FFFFFF"/>
      <w:spacing w:before="100" w:beforeAutospacing="1" w:after="100" w:afterAutospacing="1"/>
    </w:pPr>
    <w:rPr>
      <w:rFonts w:ascii="宋体" w:hAnsi="宋体"/>
      <w:color w:val="000000"/>
      <w:sz w:val="24"/>
    </w:rPr>
  </w:style>
  <w:style w:type="paragraph" w:customStyle="1" w:styleId="118">
    <w:name w:val="red"/>
    <w:basedOn w:val="1"/>
    <w:autoRedefine/>
    <w:qFormat/>
    <w:uiPriority w:val="0"/>
    <w:pPr>
      <w:spacing w:before="100" w:beforeAutospacing="1" w:after="100" w:afterAutospacing="1"/>
    </w:pPr>
    <w:rPr>
      <w:rFonts w:ascii="ˎ̥" w:hAnsi="ˎ̥"/>
      <w:color w:val="FF0000"/>
      <w:sz w:val="18"/>
      <w:szCs w:val="18"/>
    </w:rPr>
  </w:style>
  <w:style w:type="paragraph" w:customStyle="1" w:styleId="119">
    <w:name w:val="blue"/>
    <w:basedOn w:val="1"/>
    <w:autoRedefine/>
    <w:qFormat/>
    <w:uiPriority w:val="0"/>
    <w:pPr>
      <w:spacing w:before="100" w:beforeAutospacing="1" w:after="100" w:afterAutospacing="1"/>
    </w:pPr>
    <w:rPr>
      <w:rFonts w:ascii="ˎ̥" w:hAnsi="ˎ̥"/>
      <w:color w:val="0000FF"/>
      <w:sz w:val="18"/>
      <w:szCs w:val="18"/>
    </w:rPr>
  </w:style>
  <w:style w:type="paragraph" w:customStyle="1" w:styleId="120">
    <w:name w:val="blue1"/>
    <w:basedOn w:val="1"/>
    <w:autoRedefine/>
    <w:qFormat/>
    <w:uiPriority w:val="0"/>
    <w:pPr>
      <w:spacing w:before="100" w:beforeAutospacing="1" w:after="100" w:afterAutospacing="1"/>
    </w:pPr>
    <w:rPr>
      <w:rFonts w:ascii="ˎ̥" w:hAnsi="ˎ̥"/>
      <w:color w:val="3366FF"/>
      <w:sz w:val="18"/>
      <w:szCs w:val="18"/>
    </w:rPr>
  </w:style>
  <w:style w:type="paragraph" w:customStyle="1" w:styleId="121">
    <w:name w:val="orange"/>
    <w:basedOn w:val="1"/>
    <w:autoRedefine/>
    <w:qFormat/>
    <w:uiPriority w:val="0"/>
    <w:pPr>
      <w:spacing w:before="100" w:beforeAutospacing="1" w:after="100" w:afterAutospacing="1"/>
    </w:pPr>
    <w:rPr>
      <w:rFonts w:ascii="ˎ̥" w:hAnsi="ˎ̥"/>
      <w:color w:val="F7AA00"/>
      <w:sz w:val="18"/>
      <w:szCs w:val="18"/>
    </w:rPr>
  </w:style>
  <w:style w:type="paragraph" w:customStyle="1" w:styleId="122">
    <w:name w:val="checkdiv"/>
    <w:basedOn w:val="1"/>
    <w:uiPriority w:val="0"/>
    <w:pPr>
      <w:spacing w:before="100" w:beforeAutospacing="1" w:after="100" w:afterAutospacing="1"/>
    </w:pPr>
    <w:rPr>
      <w:rFonts w:ascii="宋体" w:hAnsi="宋体"/>
      <w:sz w:val="24"/>
    </w:rPr>
  </w:style>
  <w:style w:type="paragraph" w:customStyle="1" w:styleId="123">
    <w:name w:val="selopsymbol"/>
    <w:basedOn w:val="1"/>
    <w:autoRedefine/>
    <w:qFormat/>
    <w:uiPriority w:val="0"/>
    <w:pPr>
      <w:spacing w:before="100" w:beforeAutospacing="1" w:after="100" w:afterAutospacing="1"/>
    </w:pPr>
    <w:rPr>
      <w:rFonts w:ascii="ˎ̥" w:hAnsi="ˎ̥"/>
      <w:sz w:val="18"/>
      <w:szCs w:val="18"/>
    </w:rPr>
  </w:style>
  <w:style w:type="paragraph" w:customStyle="1" w:styleId="124">
    <w:name w:val="smallest"/>
    <w:basedOn w:val="1"/>
    <w:autoRedefine/>
    <w:qFormat/>
    <w:uiPriority w:val="0"/>
    <w:pPr>
      <w:spacing w:before="100" w:beforeAutospacing="1" w:after="100" w:afterAutospacing="1"/>
    </w:pPr>
    <w:rPr>
      <w:rFonts w:ascii="Verdana" w:hAnsi="Verdana"/>
      <w:sz w:val="14"/>
      <w:szCs w:val="14"/>
    </w:rPr>
  </w:style>
  <w:style w:type="paragraph" w:customStyle="1" w:styleId="125">
    <w:name w:val="small"/>
    <w:basedOn w:val="1"/>
    <w:autoRedefine/>
    <w:qFormat/>
    <w:uiPriority w:val="0"/>
    <w:pPr>
      <w:spacing w:before="100" w:beforeAutospacing="1" w:after="100" w:afterAutospacing="1"/>
    </w:pPr>
    <w:rPr>
      <w:rFonts w:ascii="Verdana" w:hAnsi="Verdana"/>
      <w:sz w:val="16"/>
      <w:szCs w:val="16"/>
    </w:rPr>
  </w:style>
  <w:style w:type="paragraph" w:customStyle="1" w:styleId="126">
    <w:name w:val="frmobject"/>
    <w:basedOn w:val="1"/>
    <w:autoRedefine/>
    <w:qFormat/>
    <w:uiPriority w:val="0"/>
    <w:pPr>
      <w:spacing w:before="100" w:beforeAutospacing="1" w:after="100" w:afterAutospacing="1"/>
    </w:pPr>
    <w:rPr>
      <w:rFonts w:ascii="Verdana" w:hAnsi="Verdana"/>
    </w:rPr>
  </w:style>
  <w:style w:type="paragraph" w:customStyle="1" w:styleId="127">
    <w:name w:val="cooldisabled"/>
    <w:basedOn w:val="1"/>
    <w:qFormat/>
    <w:uiPriority w:val="0"/>
    <w:pPr>
      <w:spacing w:before="100" w:beforeAutospacing="1" w:after="100" w:afterAutospacing="1"/>
    </w:pPr>
    <w:rPr>
      <w:rFonts w:ascii="宋体" w:hAnsi="宋体"/>
      <w:sz w:val="24"/>
    </w:rPr>
  </w:style>
  <w:style w:type="paragraph" w:customStyle="1" w:styleId="128">
    <w:name w:val="genericbutton"/>
    <w:basedOn w:val="1"/>
    <w:autoRedefine/>
    <w:qFormat/>
    <w:uiPriority w:val="0"/>
    <w:pPr>
      <w:spacing w:before="100" w:beforeAutospacing="1" w:after="100" w:afterAutospacing="1"/>
    </w:pPr>
    <w:rPr>
      <w:rFonts w:ascii="宋体" w:hAnsi="宋体"/>
      <w:sz w:val="24"/>
    </w:rPr>
  </w:style>
  <w:style w:type="paragraph" w:customStyle="1" w:styleId="129">
    <w:name w:val="coolbar"/>
    <w:basedOn w:val="1"/>
    <w:qFormat/>
    <w:uiPriority w:val="0"/>
    <w:pPr>
      <w:spacing w:before="100" w:beforeAutospacing="1" w:after="100" w:afterAutospacing="1"/>
    </w:pPr>
    <w:rPr>
      <w:rFonts w:ascii="宋体" w:hAnsi="宋体"/>
      <w:sz w:val="24"/>
    </w:rPr>
  </w:style>
  <w:style w:type="paragraph" w:customStyle="1" w:styleId="130">
    <w:name w:val="coolbarhandle"/>
    <w:basedOn w:val="1"/>
    <w:autoRedefine/>
    <w:qFormat/>
    <w:uiPriority w:val="0"/>
    <w:rPr>
      <w:rFonts w:ascii="宋体" w:hAnsi="宋体"/>
      <w:sz w:val="24"/>
    </w:rPr>
  </w:style>
  <w:style w:type="paragraph" w:customStyle="1" w:styleId="131">
    <w:name w:val="posbar"/>
    <w:basedOn w:val="1"/>
    <w:autoRedefine/>
    <w:qFormat/>
    <w:uiPriority w:val="0"/>
    <w:pPr>
      <w:pBdr>
        <w:top w:val="dotted" w:color="000000" w:sz="6" w:space="0"/>
        <w:left w:val="dotted" w:color="000000" w:sz="6" w:space="0"/>
        <w:bottom w:val="dotted" w:color="000000" w:sz="6" w:space="0"/>
        <w:right w:val="dotted" w:color="000000" w:sz="6" w:space="0"/>
      </w:pBdr>
      <w:spacing w:before="100" w:beforeAutospacing="1" w:after="100" w:afterAutospacing="1"/>
    </w:pPr>
    <w:rPr>
      <w:rFonts w:ascii="宋体" w:hAnsi="宋体"/>
      <w:sz w:val="24"/>
    </w:rPr>
  </w:style>
  <w:style w:type="paragraph" w:customStyle="1" w:styleId="132">
    <w:name w:val="coolbutton"/>
    <w:basedOn w:val="1"/>
    <w:autoRedefine/>
    <w:qFormat/>
    <w:uiPriority w:val="0"/>
    <w:pPr>
      <w:spacing w:before="100" w:beforeAutospacing="1" w:after="100" w:afterAutospacing="1"/>
      <w:textAlignment w:val="bottom"/>
    </w:pPr>
    <w:rPr>
      <w:rFonts w:ascii="宋体" w:hAnsi="宋体"/>
      <w:sz w:val="24"/>
    </w:rPr>
  </w:style>
  <w:style w:type="paragraph" w:customStyle="1" w:styleId="133">
    <w:name w:val="coolbuttondividerh"/>
    <w:basedOn w:val="1"/>
    <w:uiPriority w:val="0"/>
    <w:pPr>
      <w:spacing w:before="100" w:beforeAutospacing="1" w:after="100" w:afterAutospacing="1"/>
      <w:ind w:right="30"/>
    </w:pPr>
    <w:rPr>
      <w:rFonts w:ascii="宋体" w:hAnsi="宋体"/>
      <w:sz w:val="24"/>
    </w:rPr>
  </w:style>
  <w:style w:type="paragraph" w:customStyle="1" w:styleId="134">
    <w:name w:val="coolbuttondividerv"/>
    <w:basedOn w:val="1"/>
    <w:uiPriority w:val="0"/>
    <w:pPr>
      <w:spacing w:after="30"/>
    </w:pPr>
    <w:rPr>
      <w:rFonts w:ascii="宋体" w:hAnsi="宋体"/>
      <w:sz w:val="24"/>
    </w:rPr>
  </w:style>
  <w:style w:type="paragraph" w:customStyle="1" w:styleId="135">
    <w:name w:val="coolcombo"/>
    <w:basedOn w:val="1"/>
    <w:uiPriority w:val="0"/>
    <w:pPr>
      <w:spacing w:before="15" w:after="100" w:afterAutospacing="1"/>
      <w:ind w:right="30"/>
      <w:textAlignment w:val="top"/>
    </w:pPr>
    <w:rPr>
      <w:rFonts w:ascii="宋体" w:hAnsi="宋体"/>
      <w:sz w:val="24"/>
    </w:rPr>
  </w:style>
  <w:style w:type="paragraph" w:customStyle="1" w:styleId="136">
    <w:name w:val="coolcomboedit"/>
    <w:basedOn w:val="1"/>
    <w:uiPriority w:val="0"/>
    <w:rPr>
      <w:rFonts w:ascii="宋体" w:hAnsi="宋体"/>
      <w:sz w:val="24"/>
    </w:rPr>
  </w:style>
  <w:style w:type="paragraph" w:customStyle="1" w:styleId="137">
    <w:name w:val="coolcombobutton"/>
    <w:basedOn w:val="1"/>
    <w:autoRedefine/>
    <w:qFormat/>
    <w:uiPriority w:val="0"/>
    <w:pPr>
      <w:spacing w:line="120" w:lineRule="atLeast"/>
      <w:jc w:val="center"/>
    </w:pPr>
    <w:rPr>
      <w:rFonts w:ascii="Webdings" w:hAnsi="Webdings"/>
      <w:sz w:val="12"/>
      <w:szCs w:val="12"/>
    </w:rPr>
  </w:style>
  <w:style w:type="paragraph" w:customStyle="1" w:styleId="138">
    <w:name w:val="coolcombodropdown"/>
    <w:basedOn w:val="1"/>
    <w:autoRedefine/>
    <w:qFormat/>
    <w:uiPriority w:val="0"/>
    <w:pPr>
      <w:spacing w:before="100" w:beforeAutospacing="1" w:after="100" w:afterAutospacing="1"/>
    </w:pPr>
    <w:rPr>
      <w:rFonts w:ascii="宋体" w:hAnsi="宋体"/>
      <w:sz w:val="24"/>
    </w:rPr>
  </w:style>
  <w:style w:type="paragraph" w:customStyle="1" w:styleId="139">
    <w:name w:val="cooldatepicker"/>
    <w:basedOn w:val="1"/>
    <w:qFormat/>
    <w:uiPriority w:val="0"/>
    <w:pPr>
      <w:textAlignment w:val="top"/>
    </w:pPr>
    <w:rPr>
      <w:rFonts w:ascii="Verdana" w:hAnsi="Verdana"/>
    </w:rPr>
  </w:style>
  <w:style w:type="paragraph" w:customStyle="1" w:styleId="140">
    <w:name w:val="cooldatepickerleftheader"/>
    <w:basedOn w:val="1"/>
    <w:autoRedefine/>
    <w:qFormat/>
    <w:uiPriority w:val="0"/>
    <w:pPr>
      <w:spacing w:before="100" w:beforeAutospacing="1" w:after="100" w:afterAutospacing="1"/>
      <w:jc w:val="center"/>
    </w:pPr>
    <w:rPr>
      <w:rFonts w:ascii="Verdana" w:hAnsi="Verdana"/>
      <w:b/>
      <w:bCs/>
      <w:sz w:val="16"/>
      <w:szCs w:val="16"/>
    </w:rPr>
  </w:style>
  <w:style w:type="paragraph" w:customStyle="1" w:styleId="141">
    <w:name w:val="cooldatepickercenterheader"/>
    <w:basedOn w:val="1"/>
    <w:uiPriority w:val="0"/>
    <w:pPr>
      <w:spacing w:before="100" w:beforeAutospacing="1" w:after="100" w:afterAutospacing="1"/>
      <w:jc w:val="center"/>
    </w:pPr>
    <w:rPr>
      <w:rFonts w:ascii="Verdana" w:hAnsi="Verdana"/>
      <w:b/>
      <w:bCs/>
      <w:sz w:val="16"/>
      <w:szCs w:val="16"/>
    </w:rPr>
  </w:style>
  <w:style w:type="paragraph" w:customStyle="1" w:styleId="142">
    <w:name w:val="cooldatepickerrightheader"/>
    <w:basedOn w:val="1"/>
    <w:uiPriority w:val="0"/>
    <w:pPr>
      <w:spacing w:before="100" w:beforeAutospacing="1" w:after="100" w:afterAutospacing="1"/>
      <w:jc w:val="center"/>
    </w:pPr>
    <w:rPr>
      <w:rFonts w:ascii="Verdana" w:hAnsi="Verdana"/>
      <w:b/>
      <w:bCs/>
      <w:sz w:val="16"/>
      <w:szCs w:val="16"/>
    </w:rPr>
  </w:style>
  <w:style w:type="paragraph" w:customStyle="1" w:styleId="143">
    <w:name w:val="cooldatepickerday"/>
    <w:basedOn w:val="1"/>
    <w:autoRedefine/>
    <w:qFormat/>
    <w:uiPriority w:val="0"/>
    <w:pPr>
      <w:spacing w:before="100" w:beforeAutospacing="1" w:after="100" w:afterAutospacing="1"/>
      <w:jc w:val="center"/>
    </w:pPr>
    <w:rPr>
      <w:rFonts w:ascii="Verdana" w:hAnsi="Verdana"/>
      <w:b/>
      <w:bCs/>
      <w:sz w:val="16"/>
      <w:szCs w:val="16"/>
    </w:rPr>
  </w:style>
  <w:style w:type="paragraph" w:customStyle="1" w:styleId="144">
    <w:name w:val="cooldatepickerdate"/>
    <w:basedOn w:val="1"/>
    <w:uiPriority w:val="0"/>
    <w:pPr>
      <w:spacing w:before="100" w:beforeAutospacing="1" w:after="100" w:afterAutospacing="1"/>
      <w:jc w:val="center"/>
    </w:pPr>
    <w:rPr>
      <w:rFonts w:ascii="Verdana" w:hAnsi="Verdana"/>
      <w:b/>
      <w:bCs/>
      <w:sz w:val="15"/>
      <w:szCs w:val="15"/>
    </w:rPr>
  </w:style>
  <w:style w:type="paragraph" w:customStyle="1" w:styleId="145">
    <w:name w:val="coolgrid"/>
    <w:basedOn w:val="1"/>
    <w:uiPriority w:val="0"/>
    <w:pPr>
      <w:shd w:val="clear" w:color="auto" w:fill="E0DFE3"/>
    </w:pPr>
    <w:rPr>
      <w:rFonts w:ascii="宋体" w:hAnsi="宋体"/>
      <w:sz w:val="24"/>
    </w:rPr>
  </w:style>
  <w:style w:type="paragraph" w:customStyle="1" w:styleId="146">
    <w:name w:val="querygrid"/>
    <w:basedOn w:val="1"/>
    <w:autoRedefine/>
    <w:qFormat/>
    <w:uiPriority w:val="0"/>
    <w:pPr>
      <w:shd w:val="clear" w:color="auto" w:fill="E0DFE3"/>
    </w:pPr>
    <w:rPr>
      <w:rFonts w:ascii="宋体" w:hAnsi="宋体"/>
      <w:sz w:val="24"/>
    </w:rPr>
  </w:style>
  <w:style w:type="paragraph" w:customStyle="1" w:styleId="147">
    <w:name w:val="coollookup"/>
    <w:basedOn w:val="1"/>
    <w:uiPriority w:val="0"/>
    <w:pPr>
      <w:textAlignment w:val="top"/>
    </w:pPr>
    <w:rPr>
      <w:rFonts w:ascii="Verdana" w:hAnsi="Verdana"/>
    </w:rPr>
  </w:style>
  <w:style w:type="paragraph" w:customStyle="1" w:styleId="148">
    <w:name w:val="coolmask"/>
    <w:basedOn w:val="1"/>
    <w:autoRedefine/>
    <w:qFormat/>
    <w:uiPriority w:val="0"/>
    <w:pPr>
      <w:spacing w:before="100" w:beforeAutospacing="1" w:after="100" w:afterAutospacing="1"/>
    </w:pPr>
    <w:rPr>
      <w:rFonts w:ascii="Verdana" w:hAnsi="Verdana"/>
    </w:rPr>
  </w:style>
  <w:style w:type="paragraph" w:customStyle="1" w:styleId="149">
    <w:name w:val="coolmasknobevel"/>
    <w:basedOn w:val="1"/>
    <w:autoRedefine/>
    <w:qFormat/>
    <w:uiPriority w:val="0"/>
    <w:pPr>
      <w:spacing w:before="100" w:beforeAutospacing="1" w:after="100" w:afterAutospacing="1"/>
    </w:pPr>
    <w:rPr>
      <w:rFonts w:ascii="宋体" w:hAnsi="宋体"/>
      <w:sz w:val="24"/>
    </w:rPr>
  </w:style>
  <w:style w:type="paragraph" w:customStyle="1" w:styleId="150">
    <w:name w:val="coolmenudivhandle"/>
    <w:basedOn w:val="1"/>
    <w:autoRedefine/>
    <w:qFormat/>
    <w:uiPriority w:val="0"/>
    <w:rPr>
      <w:rFonts w:ascii="宋体" w:hAnsi="宋体"/>
      <w:sz w:val="24"/>
    </w:rPr>
  </w:style>
  <w:style w:type="paragraph" w:customStyle="1" w:styleId="151">
    <w:name w:val="coolmenuroot"/>
    <w:basedOn w:val="1"/>
    <w:uiPriority w:val="0"/>
    <w:pPr>
      <w:spacing w:before="100" w:beforeAutospacing="1" w:after="100" w:afterAutospacing="1"/>
      <w:jc w:val="center"/>
      <w:textAlignment w:val="bottom"/>
    </w:pPr>
    <w:rPr>
      <w:rFonts w:ascii="宋体" w:hAnsi="宋体"/>
      <w:sz w:val="24"/>
    </w:rPr>
  </w:style>
  <w:style w:type="paragraph" w:customStyle="1" w:styleId="152">
    <w:name w:val="coolmenu"/>
    <w:basedOn w:val="1"/>
    <w:autoRedefine/>
    <w:qFormat/>
    <w:uiPriority w:val="0"/>
    <w:pPr>
      <w:spacing w:before="100" w:beforeAutospacing="1" w:after="100" w:afterAutospacing="1"/>
    </w:pPr>
    <w:rPr>
      <w:rFonts w:ascii="宋体" w:hAnsi="宋体"/>
      <w:sz w:val="24"/>
    </w:rPr>
  </w:style>
  <w:style w:type="paragraph" w:customStyle="1" w:styleId="153">
    <w:name w:val="coololbar"/>
    <w:basedOn w:val="1"/>
    <w:uiPriority w:val="0"/>
    <w:rPr>
      <w:rFonts w:ascii="宋体" w:hAnsi="宋体"/>
      <w:sz w:val="24"/>
    </w:rPr>
  </w:style>
  <w:style w:type="paragraph" w:customStyle="1" w:styleId="154">
    <w:name w:val="coololbarbuttoncontainer"/>
    <w:basedOn w:val="1"/>
    <w:uiPriority w:val="0"/>
    <w:pPr>
      <w:spacing w:before="100" w:beforeAutospacing="1" w:after="100" w:afterAutospacing="1"/>
    </w:pPr>
    <w:rPr>
      <w:rFonts w:ascii="宋体" w:hAnsi="宋体"/>
      <w:sz w:val="24"/>
    </w:rPr>
  </w:style>
  <w:style w:type="paragraph" w:customStyle="1" w:styleId="155">
    <w:name w:val="coololbarcontainerbutton"/>
    <w:basedOn w:val="1"/>
    <w:uiPriority w:val="0"/>
    <w:pPr>
      <w:spacing w:before="100" w:beforeAutospacing="1" w:after="100" w:afterAutospacing="1"/>
      <w:jc w:val="center"/>
    </w:pPr>
    <w:rPr>
      <w:rFonts w:ascii="宋体" w:hAnsi="宋体"/>
      <w:sz w:val="24"/>
    </w:rPr>
  </w:style>
  <w:style w:type="paragraph" w:customStyle="1" w:styleId="156">
    <w:name w:val="coololbarcontainerbuttontext"/>
    <w:basedOn w:val="1"/>
    <w:uiPriority w:val="0"/>
    <w:pPr>
      <w:spacing w:before="100" w:beforeAutospacing="1" w:after="100" w:afterAutospacing="1"/>
    </w:pPr>
    <w:rPr>
      <w:rFonts w:ascii="宋体" w:hAnsi="宋体"/>
      <w:sz w:val="24"/>
    </w:rPr>
  </w:style>
  <w:style w:type="paragraph" w:customStyle="1" w:styleId="157">
    <w:name w:val="coololbarbutton"/>
    <w:basedOn w:val="1"/>
    <w:uiPriority w:val="0"/>
    <w:pPr>
      <w:spacing w:before="100" w:beforeAutospacing="1" w:after="100" w:afterAutospacing="1"/>
      <w:jc w:val="center"/>
    </w:pPr>
    <w:rPr>
      <w:rFonts w:ascii="宋体" w:hAnsi="宋体"/>
      <w:sz w:val="24"/>
    </w:rPr>
  </w:style>
  <w:style w:type="paragraph" w:customStyle="1" w:styleId="158">
    <w:name w:val="coololbarscrollbutton"/>
    <w:basedOn w:val="1"/>
    <w:uiPriority w:val="0"/>
    <w:pPr>
      <w:spacing w:before="100" w:beforeAutospacing="1" w:after="100" w:afterAutospacing="1" w:line="150" w:lineRule="atLeast"/>
      <w:jc w:val="center"/>
    </w:pPr>
    <w:rPr>
      <w:rFonts w:ascii="Webdings" w:hAnsi="Webdings"/>
      <w:sz w:val="15"/>
      <w:szCs w:val="15"/>
    </w:rPr>
  </w:style>
  <w:style w:type="paragraph" w:customStyle="1" w:styleId="159">
    <w:name w:val="coolselect"/>
    <w:basedOn w:val="1"/>
    <w:uiPriority w:val="0"/>
    <w:rPr>
      <w:rFonts w:ascii="Verdana" w:hAnsi="Verdana"/>
    </w:rPr>
  </w:style>
  <w:style w:type="paragraph" w:customStyle="1" w:styleId="160">
    <w:name w:val="coolselectdropdown"/>
    <w:basedOn w:val="1"/>
    <w:uiPriority w:val="0"/>
    <w:pPr>
      <w:spacing w:before="100" w:beforeAutospacing="1" w:after="100" w:afterAutospacing="1"/>
    </w:pPr>
    <w:rPr>
      <w:rFonts w:ascii="宋体" w:hAnsi="宋体"/>
      <w:sz w:val="24"/>
    </w:rPr>
  </w:style>
  <w:style w:type="paragraph" w:customStyle="1" w:styleId="161">
    <w:name w:val="cooltable"/>
    <w:basedOn w:val="1"/>
    <w:autoRedefine/>
    <w:qFormat/>
    <w:uiPriority w:val="0"/>
    <w:rPr>
      <w:rFonts w:ascii="宋体" w:hAnsi="宋体"/>
      <w:sz w:val="24"/>
    </w:rPr>
  </w:style>
  <w:style w:type="paragraph" w:customStyle="1" w:styleId="162">
    <w:name w:val="cooltree"/>
    <w:basedOn w:val="1"/>
    <w:autoRedefine/>
    <w:qFormat/>
    <w:uiPriority w:val="0"/>
    <w:rPr>
      <w:rFonts w:ascii="宋体" w:hAnsi="宋体"/>
      <w:sz w:val="24"/>
    </w:rPr>
  </w:style>
  <w:style w:type="paragraph" w:customStyle="1" w:styleId="163">
    <w:name w:val="coolwindows"/>
    <w:basedOn w:val="1"/>
    <w:autoRedefine/>
    <w:qFormat/>
    <w:uiPriority w:val="0"/>
    <w:pPr>
      <w:spacing w:before="100" w:beforeAutospacing="1" w:after="100" w:afterAutospacing="1"/>
    </w:pPr>
    <w:rPr>
      <w:rFonts w:ascii="宋体" w:hAnsi="宋体"/>
      <w:vanish/>
      <w:sz w:val="24"/>
    </w:rPr>
  </w:style>
  <w:style w:type="paragraph" w:customStyle="1" w:styleId="164">
    <w:name w:val="input"/>
    <w:basedOn w:val="1"/>
    <w:autoRedefine/>
    <w:qFormat/>
    <w:uiPriority w:val="0"/>
    <w:pPr>
      <w:spacing w:before="100" w:beforeAutospacing="1" w:after="100" w:afterAutospacing="1"/>
    </w:pPr>
    <w:rPr>
      <w:rFonts w:ascii="ˎ̥" w:hAnsi="ˎ̥"/>
      <w:sz w:val="18"/>
      <w:szCs w:val="18"/>
    </w:rPr>
  </w:style>
  <w:style w:type="paragraph" w:customStyle="1" w:styleId="165">
    <w:name w:val="input2"/>
    <w:basedOn w:val="1"/>
    <w:qFormat/>
    <w:uiPriority w:val="0"/>
    <w:pPr>
      <w:spacing w:before="100" w:beforeAutospacing="1" w:after="100" w:afterAutospacing="1"/>
    </w:pPr>
    <w:rPr>
      <w:rFonts w:ascii="ˎ̥" w:hAnsi="ˎ̥"/>
      <w:sz w:val="18"/>
      <w:szCs w:val="18"/>
    </w:rPr>
  </w:style>
  <w:style w:type="paragraph" w:customStyle="1" w:styleId="166">
    <w:name w:val="input4"/>
    <w:basedOn w:val="1"/>
    <w:autoRedefine/>
    <w:qFormat/>
    <w:uiPriority w:val="0"/>
    <w:pPr>
      <w:spacing w:before="100" w:beforeAutospacing="1" w:after="100" w:afterAutospacing="1"/>
    </w:pPr>
    <w:rPr>
      <w:rFonts w:ascii="ˎ̥" w:hAnsi="ˎ̥"/>
      <w:sz w:val="18"/>
      <w:szCs w:val="18"/>
    </w:rPr>
  </w:style>
  <w:style w:type="paragraph" w:customStyle="1" w:styleId="167">
    <w:name w:val="input6"/>
    <w:basedOn w:val="1"/>
    <w:autoRedefine/>
    <w:uiPriority w:val="0"/>
    <w:pPr>
      <w:spacing w:before="100" w:beforeAutospacing="1" w:after="100" w:afterAutospacing="1"/>
    </w:pPr>
    <w:rPr>
      <w:rFonts w:ascii="ˎ̥" w:hAnsi="ˎ̥"/>
      <w:sz w:val="18"/>
      <w:szCs w:val="18"/>
    </w:rPr>
  </w:style>
  <w:style w:type="paragraph" w:customStyle="1" w:styleId="168">
    <w:name w:val="input8"/>
    <w:basedOn w:val="1"/>
    <w:uiPriority w:val="0"/>
    <w:pPr>
      <w:spacing w:before="100" w:beforeAutospacing="1" w:after="100" w:afterAutospacing="1"/>
    </w:pPr>
    <w:rPr>
      <w:rFonts w:ascii="ˎ̥" w:hAnsi="ˎ̥"/>
      <w:sz w:val="18"/>
      <w:szCs w:val="18"/>
    </w:rPr>
  </w:style>
  <w:style w:type="paragraph" w:customStyle="1" w:styleId="169">
    <w:name w:val="coolcomboitem"/>
    <w:basedOn w:val="1"/>
    <w:uiPriority w:val="0"/>
    <w:pPr>
      <w:spacing w:before="100" w:beforeAutospacing="1" w:after="100" w:afterAutospacing="1"/>
    </w:pPr>
    <w:rPr>
      <w:rFonts w:ascii="宋体" w:hAnsi="宋体"/>
      <w:sz w:val="24"/>
    </w:rPr>
  </w:style>
  <w:style w:type="paragraph" w:customStyle="1" w:styleId="170">
    <w:name w:val="coolmenuitem"/>
    <w:basedOn w:val="1"/>
    <w:uiPriority w:val="0"/>
    <w:pPr>
      <w:spacing w:before="100" w:beforeAutospacing="1" w:after="100" w:afterAutospacing="1"/>
    </w:pPr>
    <w:rPr>
      <w:rFonts w:ascii="宋体" w:hAnsi="宋体"/>
      <w:sz w:val="24"/>
    </w:rPr>
  </w:style>
  <w:style w:type="paragraph" w:customStyle="1" w:styleId="171">
    <w:name w:val="coolmenudivider"/>
    <w:basedOn w:val="1"/>
    <w:qFormat/>
    <w:uiPriority w:val="0"/>
    <w:pPr>
      <w:spacing w:before="100" w:beforeAutospacing="1" w:after="100" w:afterAutospacing="1"/>
    </w:pPr>
    <w:rPr>
      <w:rFonts w:ascii="宋体" w:hAnsi="宋体"/>
      <w:sz w:val="24"/>
    </w:rPr>
  </w:style>
  <w:style w:type="paragraph" w:customStyle="1" w:styleId="172">
    <w:name w:val="coolselectitem"/>
    <w:basedOn w:val="1"/>
    <w:qFormat/>
    <w:uiPriority w:val="0"/>
    <w:pPr>
      <w:spacing w:before="100" w:beforeAutospacing="1" w:after="100" w:afterAutospacing="1"/>
    </w:pPr>
    <w:rPr>
      <w:rFonts w:ascii="宋体" w:hAnsi="宋体"/>
      <w:sz w:val="24"/>
    </w:rPr>
  </w:style>
  <w:style w:type="paragraph" w:customStyle="1" w:styleId="173">
    <w:name w:val="icon"/>
    <w:basedOn w:val="1"/>
    <w:qFormat/>
    <w:uiPriority w:val="0"/>
    <w:pPr>
      <w:spacing w:before="100" w:beforeAutospacing="1" w:after="100" w:afterAutospacing="1"/>
    </w:pPr>
    <w:rPr>
      <w:rFonts w:ascii="宋体" w:hAnsi="宋体"/>
      <w:sz w:val="24"/>
    </w:rPr>
  </w:style>
  <w:style w:type="paragraph" w:customStyle="1" w:styleId="174">
    <w:name w:val="pict"/>
    <w:basedOn w:val="1"/>
    <w:autoRedefine/>
    <w:qFormat/>
    <w:uiPriority w:val="0"/>
    <w:pPr>
      <w:spacing w:before="100" w:beforeAutospacing="1" w:after="100" w:afterAutospacing="1"/>
    </w:pPr>
    <w:rPr>
      <w:rFonts w:ascii="宋体" w:hAnsi="宋体"/>
      <w:sz w:val="24"/>
    </w:rPr>
  </w:style>
  <w:style w:type="paragraph" w:customStyle="1" w:styleId="175">
    <w:name w:val="gridhead"/>
    <w:basedOn w:val="1"/>
    <w:autoRedefine/>
    <w:qFormat/>
    <w:uiPriority w:val="0"/>
    <w:pPr>
      <w:spacing w:before="100" w:beforeAutospacing="1" w:after="100" w:afterAutospacing="1"/>
    </w:pPr>
    <w:rPr>
      <w:rFonts w:ascii="宋体" w:hAnsi="宋体"/>
      <w:sz w:val="24"/>
    </w:rPr>
  </w:style>
  <w:style w:type="paragraph" w:customStyle="1" w:styleId="176">
    <w:name w:val="windowcaption"/>
    <w:basedOn w:val="1"/>
    <w:autoRedefine/>
    <w:qFormat/>
    <w:uiPriority w:val="0"/>
    <w:pPr>
      <w:spacing w:before="100" w:beforeAutospacing="1" w:after="100" w:afterAutospacing="1"/>
    </w:pPr>
    <w:rPr>
      <w:rFonts w:ascii="宋体" w:hAnsi="宋体"/>
      <w:sz w:val="24"/>
    </w:rPr>
  </w:style>
  <w:style w:type="paragraph" w:customStyle="1" w:styleId="177">
    <w:name w:val="windowcontent"/>
    <w:basedOn w:val="1"/>
    <w:autoRedefine/>
    <w:qFormat/>
    <w:uiPriority w:val="0"/>
    <w:pPr>
      <w:spacing w:before="100" w:beforeAutospacing="1" w:after="100" w:afterAutospacing="1"/>
    </w:pPr>
    <w:rPr>
      <w:rFonts w:ascii="宋体" w:hAnsi="宋体"/>
      <w:sz w:val="24"/>
    </w:rPr>
  </w:style>
  <w:style w:type="paragraph" w:customStyle="1" w:styleId="178">
    <w:name w:val="coolmenumore"/>
    <w:basedOn w:val="1"/>
    <w:autoRedefine/>
    <w:qFormat/>
    <w:uiPriority w:val="0"/>
    <w:pPr>
      <w:spacing w:before="100" w:beforeAutospacing="1" w:after="100" w:afterAutospacing="1"/>
    </w:pPr>
    <w:rPr>
      <w:rFonts w:ascii="宋体" w:hAnsi="宋体"/>
      <w:sz w:val="24"/>
    </w:rPr>
  </w:style>
  <w:style w:type="paragraph" w:customStyle="1" w:styleId="179">
    <w:name w:val="gridrow"/>
    <w:basedOn w:val="1"/>
    <w:autoRedefine/>
    <w:qFormat/>
    <w:uiPriority w:val="0"/>
    <w:pPr>
      <w:spacing w:before="100" w:beforeAutospacing="1" w:after="100" w:afterAutospacing="1"/>
    </w:pPr>
    <w:rPr>
      <w:rFonts w:ascii="宋体" w:hAnsi="宋体"/>
      <w:sz w:val="24"/>
    </w:rPr>
  </w:style>
  <w:style w:type="paragraph" w:customStyle="1" w:styleId="180">
    <w:name w:val="cooldisabled1"/>
    <w:basedOn w:val="1"/>
    <w:autoRedefine/>
    <w:qFormat/>
    <w:uiPriority w:val="0"/>
    <w:pPr>
      <w:spacing w:before="100" w:beforeAutospacing="1" w:after="100" w:afterAutospacing="1"/>
    </w:pPr>
    <w:rPr>
      <w:rFonts w:ascii="宋体" w:hAnsi="宋体"/>
      <w:sz w:val="24"/>
    </w:rPr>
  </w:style>
  <w:style w:type="paragraph" w:customStyle="1" w:styleId="181">
    <w:name w:val="coolcomboitem1"/>
    <w:basedOn w:val="1"/>
    <w:autoRedefine/>
    <w:qFormat/>
    <w:uiPriority w:val="0"/>
    <w:pPr>
      <w:spacing w:before="15" w:after="15"/>
      <w:ind w:left="15" w:right="15"/>
    </w:pPr>
    <w:rPr>
      <w:rFonts w:ascii="宋体" w:hAnsi="宋体"/>
      <w:sz w:val="24"/>
    </w:rPr>
  </w:style>
  <w:style w:type="paragraph" w:customStyle="1" w:styleId="182">
    <w:name w:val="coolmenuitem1"/>
    <w:basedOn w:val="1"/>
    <w:autoRedefine/>
    <w:qFormat/>
    <w:uiPriority w:val="0"/>
    <w:pPr>
      <w:spacing w:before="15" w:after="15"/>
      <w:ind w:left="15" w:right="15"/>
    </w:pPr>
    <w:rPr>
      <w:rFonts w:ascii="宋体" w:hAnsi="宋体"/>
      <w:sz w:val="24"/>
    </w:rPr>
  </w:style>
  <w:style w:type="paragraph" w:customStyle="1" w:styleId="183">
    <w:name w:val="coolmenumore1"/>
    <w:basedOn w:val="1"/>
    <w:qFormat/>
    <w:uiPriority w:val="0"/>
    <w:pPr>
      <w:spacing w:before="100" w:beforeAutospacing="1" w:after="100" w:afterAutospacing="1"/>
    </w:pPr>
    <w:rPr>
      <w:rFonts w:ascii="Webdings" w:hAnsi="Webdings"/>
      <w:sz w:val="24"/>
    </w:rPr>
  </w:style>
  <w:style w:type="paragraph" w:customStyle="1" w:styleId="184">
    <w:name w:val="coolmenudivider1"/>
    <w:basedOn w:val="1"/>
    <w:autoRedefine/>
    <w:qFormat/>
    <w:uiPriority w:val="0"/>
    <w:pPr>
      <w:pBdr>
        <w:top w:val="inset" w:color="auto" w:sz="6" w:space="0"/>
        <w:left w:val="inset" w:color="auto" w:sz="6" w:space="0"/>
        <w:bottom w:val="inset" w:color="auto" w:sz="6" w:space="0"/>
        <w:right w:val="inset" w:color="auto" w:sz="6" w:space="0"/>
      </w:pBdr>
      <w:spacing w:before="30" w:after="30"/>
      <w:ind w:left="30"/>
    </w:pPr>
    <w:rPr>
      <w:rFonts w:ascii="宋体" w:hAnsi="宋体"/>
      <w:sz w:val="24"/>
    </w:rPr>
  </w:style>
  <w:style w:type="paragraph" w:customStyle="1" w:styleId="185">
    <w:name w:val="coolselectitem1"/>
    <w:basedOn w:val="1"/>
    <w:autoRedefine/>
    <w:uiPriority w:val="0"/>
    <w:pPr>
      <w:spacing w:before="15" w:after="15"/>
      <w:ind w:left="15" w:right="15"/>
    </w:pPr>
    <w:rPr>
      <w:rFonts w:ascii="宋体" w:hAnsi="宋体"/>
      <w:sz w:val="24"/>
    </w:rPr>
  </w:style>
  <w:style w:type="paragraph" w:customStyle="1" w:styleId="186">
    <w:name w:val="icon1"/>
    <w:basedOn w:val="1"/>
    <w:autoRedefine/>
    <w:qFormat/>
    <w:uiPriority w:val="0"/>
    <w:rPr>
      <w:rFonts w:ascii="宋体" w:hAnsi="宋体"/>
      <w:sz w:val="24"/>
    </w:rPr>
  </w:style>
  <w:style w:type="paragraph" w:customStyle="1" w:styleId="187">
    <w:name w:val="pict1"/>
    <w:basedOn w:val="1"/>
    <w:autoRedefine/>
    <w:qFormat/>
    <w:uiPriority w:val="0"/>
    <w:rPr>
      <w:rFonts w:ascii="宋体" w:hAnsi="宋体"/>
      <w:sz w:val="24"/>
    </w:rPr>
  </w:style>
  <w:style w:type="paragraph" w:customStyle="1" w:styleId="188">
    <w:name w:val="gridhead1"/>
    <w:basedOn w:val="1"/>
    <w:autoRedefine/>
    <w:qFormat/>
    <w:uiPriority w:val="0"/>
    <w:pPr>
      <w:spacing w:before="100" w:beforeAutospacing="1" w:after="100" w:afterAutospacing="1"/>
    </w:pPr>
    <w:rPr>
      <w:rFonts w:ascii="宋体" w:hAnsi="宋体"/>
      <w:sz w:val="24"/>
    </w:rPr>
  </w:style>
  <w:style w:type="paragraph" w:customStyle="1" w:styleId="189">
    <w:name w:val="gridrow1"/>
    <w:basedOn w:val="1"/>
    <w:autoRedefine/>
    <w:uiPriority w:val="0"/>
    <w:pPr>
      <w:spacing w:before="100" w:beforeAutospacing="1" w:after="100" w:afterAutospacing="1"/>
    </w:pPr>
    <w:rPr>
      <w:rFonts w:ascii="宋体" w:hAnsi="宋体"/>
      <w:sz w:val="24"/>
    </w:rPr>
  </w:style>
  <w:style w:type="paragraph" w:customStyle="1" w:styleId="190">
    <w:name w:val="gridrow2"/>
    <w:basedOn w:val="1"/>
    <w:qFormat/>
    <w:uiPriority w:val="0"/>
    <w:pPr>
      <w:spacing w:before="100" w:beforeAutospacing="1" w:after="100" w:afterAutospacing="1"/>
    </w:pPr>
    <w:rPr>
      <w:rFonts w:ascii="宋体" w:hAnsi="宋体"/>
      <w:sz w:val="24"/>
    </w:rPr>
  </w:style>
  <w:style w:type="paragraph" w:customStyle="1" w:styleId="191">
    <w:name w:val="windowcaption1"/>
    <w:basedOn w:val="1"/>
    <w:autoRedefine/>
    <w:qFormat/>
    <w:uiPriority w:val="0"/>
    <w:pPr>
      <w:spacing w:before="30" w:after="30"/>
      <w:ind w:left="30" w:right="30"/>
    </w:pPr>
    <w:rPr>
      <w:rFonts w:ascii="宋体" w:hAnsi="宋体"/>
      <w:sz w:val="24"/>
    </w:rPr>
  </w:style>
  <w:style w:type="paragraph" w:customStyle="1" w:styleId="192">
    <w:name w:val="windowcontent1"/>
    <w:basedOn w:val="1"/>
    <w:autoRedefine/>
    <w:uiPriority w:val="0"/>
    <w:pPr>
      <w:spacing w:after="45"/>
      <w:ind w:left="30" w:right="45"/>
    </w:pPr>
    <w:rPr>
      <w:rFonts w:ascii="宋体" w:hAnsi="宋体"/>
      <w:sz w:val="24"/>
    </w:rPr>
  </w:style>
  <w:style w:type="paragraph" w:customStyle="1" w:styleId="193">
    <w:name w:val="windowcaption2"/>
    <w:basedOn w:val="1"/>
    <w:autoRedefine/>
    <w:qFormat/>
    <w:uiPriority w:val="0"/>
    <w:pPr>
      <w:shd w:val="clear" w:color="auto" w:fill="F7AA00"/>
      <w:spacing w:before="30" w:after="30"/>
      <w:ind w:left="30" w:right="30"/>
    </w:pPr>
    <w:rPr>
      <w:rFonts w:ascii="ˎ̥" w:hAnsi="ˎ̥"/>
      <w:b/>
      <w:bCs/>
      <w:color w:val="FFFFFF"/>
      <w:sz w:val="18"/>
      <w:szCs w:val="18"/>
    </w:rPr>
  </w:style>
  <w:style w:type="paragraph" w:customStyle="1" w:styleId="194">
    <w:name w:val="windowcontent2"/>
    <w:basedOn w:val="1"/>
    <w:autoRedefine/>
    <w:qFormat/>
    <w:uiPriority w:val="0"/>
    <w:pPr>
      <w:spacing w:after="45"/>
      <w:ind w:left="30" w:right="45"/>
    </w:pPr>
    <w:rPr>
      <w:rFonts w:ascii="宋体" w:hAnsi="宋体"/>
      <w:sz w:val="24"/>
    </w:rPr>
  </w:style>
  <w:style w:type="paragraph" w:customStyle="1" w:styleId="195">
    <w:name w:val="title55"/>
    <w:basedOn w:val="1"/>
    <w:autoRedefine/>
    <w:qFormat/>
    <w:uiPriority w:val="0"/>
    <w:pPr>
      <w:shd w:val="clear" w:color="auto" w:fill="6F6761"/>
      <w:spacing w:before="100" w:beforeAutospacing="1" w:after="100" w:afterAutospacing="1"/>
    </w:pPr>
    <w:rPr>
      <w:rFonts w:ascii="ˎ̥" w:hAnsi="ˎ̥"/>
      <w:color w:val="FFFFFF"/>
      <w:sz w:val="18"/>
      <w:szCs w:val="18"/>
    </w:rPr>
  </w:style>
  <w:style w:type="paragraph" w:customStyle="1" w:styleId="196">
    <w:name w:val="title88"/>
    <w:basedOn w:val="1"/>
    <w:autoRedefine/>
    <w:qFormat/>
    <w:uiPriority w:val="0"/>
    <w:pPr>
      <w:shd w:val="clear" w:color="auto" w:fill="EEEEEE"/>
      <w:spacing w:before="100" w:beforeAutospacing="1" w:after="100" w:afterAutospacing="1"/>
    </w:pPr>
    <w:rPr>
      <w:rFonts w:ascii="ˎ̥" w:hAnsi="ˎ̥"/>
      <w:color w:val="000000"/>
      <w:sz w:val="18"/>
      <w:szCs w:val="18"/>
    </w:rPr>
  </w:style>
  <w:style w:type="paragraph" w:customStyle="1" w:styleId="197">
    <w:name w:val="title9"/>
    <w:basedOn w:val="1"/>
    <w:autoRedefine/>
    <w:qFormat/>
    <w:uiPriority w:val="0"/>
    <w:pPr>
      <w:shd w:val="clear" w:color="auto" w:fill="FFFFFF"/>
      <w:spacing w:before="100" w:beforeAutospacing="1" w:after="100" w:afterAutospacing="1"/>
    </w:pPr>
    <w:rPr>
      <w:rFonts w:ascii="ˎ̥" w:hAnsi="ˎ̥"/>
      <w:b/>
      <w:bCs/>
      <w:color w:val="000000"/>
      <w:sz w:val="18"/>
      <w:szCs w:val="18"/>
    </w:rPr>
  </w:style>
  <w:style w:type="paragraph" w:customStyle="1" w:styleId="198">
    <w:name w:val="td22"/>
    <w:basedOn w:val="1"/>
    <w:qFormat/>
    <w:uiPriority w:val="0"/>
    <w:pPr>
      <w:shd w:val="clear" w:color="auto" w:fill="FFFFFF"/>
      <w:spacing w:before="100" w:beforeAutospacing="1" w:after="100" w:afterAutospacing="1"/>
      <w:ind w:firstLine="75"/>
    </w:pPr>
    <w:rPr>
      <w:rFonts w:ascii="ˎ̥" w:hAnsi="ˎ̥"/>
      <w:color w:val="000000"/>
      <w:sz w:val="18"/>
      <w:szCs w:val="18"/>
    </w:rPr>
  </w:style>
  <w:style w:type="paragraph" w:customStyle="1" w:styleId="199">
    <w:name w:val="td211"/>
    <w:basedOn w:val="1"/>
    <w:autoRedefine/>
    <w:qFormat/>
    <w:uiPriority w:val="0"/>
    <w:pPr>
      <w:shd w:val="clear" w:color="auto" w:fill="FFFFFF"/>
      <w:spacing w:before="100" w:beforeAutospacing="1" w:after="100" w:afterAutospacing="1"/>
      <w:jc w:val="right"/>
    </w:pPr>
    <w:rPr>
      <w:rFonts w:ascii="ˎ̥" w:hAnsi="ˎ̥"/>
      <w:color w:val="000000"/>
      <w:sz w:val="18"/>
      <w:szCs w:val="18"/>
    </w:rPr>
  </w:style>
  <w:style w:type="paragraph" w:customStyle="1" w:styleId="200">
    <w:name w:val="input23"/>
    <w:basedOn w:val="1"/>
    <w:autoRedefine/>
    <w:qFormat/>
    <w:uiPriority w:val="0"/>
    <w:pPr>
      <w:spacing w:before="100" w:beforeAutospacing="1" w:after="100" w:afterAutospacing="1"/>
    </w:pPr>
    <w:rPr>
      <w:rFonts w:ascii="ˎ̥" w:hAnsi="ˎ̥"/>
      <w:sz w:val="18"/>
      <w:szCs w:val="18"/>
    </w:rPr>
  </w:style>
  <w:style w:type="paragraph" w:customStyle="1" w:styleId="201">
    <w:name w:val="inputa"/>
    <w:basedOn w:val="1"/>
    <w:autoRedefine/>
    <w:qFormat/>
    <w:uiPriority w:val="0"/>
    <w:pPr>
      <w:spacing w:before="100" w:beforeAutospacing="1" w:after="100" w:afterAutospacing="1"/>
    </w:pPr>
    <w:rPr>
      <w:rFonts w:ascii="ˎ̥" w:hAnsi="ˎ̥"/>
      <w:sz w:val="18"/>
      <w:szCs w:val="18"/>
    </w:rPr>
  </w:style>
  <w:style w:type="paragraph" w:customStyle="1" w:styleId="202">
    <w:name w:val="inputaa"/>
    <w:basedOn w:val="1"/>
    <w:autoRedefine/>
    <w:qFormat/>
    <w:uiPriority w:val="0"/>
    <w:pPr>
      <w:shd w:val="clear" w:color="auto" w:fill="D8D8D8"/>
      <w:spacing w:before="100" w:beforeAutospacing="1" w:after="100" w:afterAutospacing="1"/>
    </w:pPr>
    <w:rPr>
      <w:rFonts w:ascii="ˎ̥" w:hAnsi="ˎ̥"/>
      <w:sz w:val="18"/>
      <w:szCs w:val="18"/>
    </w:rPr>
  </w:style>
  <w:style w:type="paragraph" w:customStyle="1" w:styleId="203">
    <w:name w:val="coolmenudiv"/>
    <w:basedOn w:val="1"/>
    <w:autoRedefine/>
    <w:qFormat/>
    <w:uiPriority w:val="0"/>
    <w:pPr>
      <w:spacing w:before="100" w:beforeAutospacing="1" w:after="100" w:afterAutospacing="1"/>
    </w:pPr>
    <w:rPr>
      <w:rFonts w:ascii="ˎ̥" w:hAnsi="ˎ̥"/>
      <w:sz w:val="18"/>
      <w:szCs w:val="18"/>
    </w:rPr>
  </w:style>
  <w:style w:type="paragraph" w:customStyle="1" w:styleId="204">
    <w:name w:val="coolwindow"/>
    <w:basedOn w:val="1"/>
    <w:qFormat/>
    <w:uiPriority w:val="0"/>
    <w:pPr>
      <w:spacing w:before="100" w:beforeAutospacing="1" w:after="100" w:afterAutospacing="1"/>
    </w:pPr>
    <w:rPr>
      <w:rFonts w:ascii="ˎ̥" w:hAnsi="ˎ̥"/>
      <w:sz w:val="18"/>
      <w:szCs w:val="18"/>
    </w:rPr>
  </w:style>
  <w:style w:type="character" w:customStyle="1" w:styleId="205">
    <w:name w:val="文档结构图 Char"/>
    <w:basedOn w:val="39"/>
    <w:link w:val="12"/>
    <w:autoRedefine/>
    <w:semiHidden/>
    <w:qFormat/>
    <w:uiPriority w:val="0"/>
    <w:rPr>
      <w:rFonts w:ascii="Arial" w:hAnsi="Arial" w:eastAsia="宋体" w:cs="Times New Roman"/>
      <w:spacing w:val="-5"/>
      <w:kern w:val="0"/>
      <w:sz w:val="20"/>
      <w:szCs w:val="20"/>
      <w:shd w:val="clear" w:color="auto" w:fill="000080"/>
    </w:rPr>
  </w:style>
  <w:style w:type="character" w:customStyle="1" w:styleId="206">
    <w:name w:val="结束语 Char"/>
    <w:basedOn w:val="39"/>
    <w:link w:val="14"/>
    <w:autoRedefine/>
    <w:qFormat/>
    <w:uiPriority w:val="0"/>
    <w:rPr>
      <w:rFonts w:ascii="Arial" w:hAnsi="Arial" w:eastAsia="宋体" w:cs="Times New Roman"/>
      <w:spacing w:val="-5"/>
      <w:kern w:val="0"/>
      <w:sz w:val="20"/>
      <w:szCs w:val="20"/>
    </w:rPr>
  </w:style>
  <w:style w:type="paragraph" w:customStyle="1" w:styleId="207">
    <w:name w:val="Company Name"/>
    <w:basedOn w:val="1"/>
    <w:autoRedefine/>
    <w:qFormat/>
    <w:uiPriority w:val="0"/>
    <w:pPr>
      <w:keepLines/>
      <w:framePr w:w="3557" w:hSpace="187" w:vSpace="187" w:wrap="notBeside" w:vAnchor="page" w:hAnchor="page" w:x="7345" w:y="1009" w:anchorLock="1"/>
      <w:pBdr>
        <w:top w:val="single" w:color="auto" w:sz="6" w:space="9"/>
        <w:left w:val="single" w:color="auto" w:sz="6" w:space="9"/>
        <w:bottom w:val="single" w:color="auto" w:sz="6" w:space="9"/>
        <w:right w:val="single" w:color="auto" w:sz="6" w:space="9"/>
      </w:pBdr>
      <w:shd w:val="solid" w:color="auto" w:fill="auto"/>
      <w:spacing w:line="320" w:lineRule="exact"/>
    </w:pPr>
    <w:rPr>
      <w:rFonts w:ascii="Arial Black" w:hAnsi="Arial Black"/>
      <w:spacing w:val="-15"/>
      <w:position w:val="-2"/>
      <w:sz w:val="32"/>
    </w:rPr>
  </w:style>
  <w:style w:type="paragraph" w:customStyle="1" w:styleId="208">
    <w:name w:val="Document Label"/>
    <w:basedOn w:val="1"/>
    <w:next w:val="1"/>
    <w:autoRedefine/>
    <w:qFormat/>
    <w:uiPriority w:val="0"/>
    <w:pPr>
      <w:keepNext/>
      <w:keepLines/>
      <w:spacing w:before="400" w:after="120" w:line="240" w:lineRule="atLeast"/>
      <w:ind w:left="-840"/>
    </w:pPr>
    <w:rPr>
      <w:rFonts w:ascii="Arial Black" w:hAnsi="Arial Black"/>
      <w:kern w:val="28"/>
      <w:sz w:val="96"/>
    </w:rPr>
  </w:style>
  <w:style w:type="paragraph" w:customStyle="1" w:styleId="209">
    <w:name w:val="Enclosure"/>
    <w:basedOn w:val="6"/>
    <w:next w:val="1"/>
    <w:autoRedefine/>
    <w:qFormat/>
    <w:uiPriority w:val="0"/>
    <w:pPr>
      <w:keepLines/>
      <w:spacing w:before="220" w:after="220" w:line="180" w:lineRule="atLeast"/>
    </w:pPr>
    <w:rPr>
      <w:rFonts w:ascii="Arial" w:hAnsi="Arial"/>
      <w:sz w:val="20"/>
    </w:rPr>
  </w:style>
  <w:style w:type="paragraph" w:customStyle="1" w:styleId="210">
    <w:name w:val="Header Base"/>
    <w:basedOn w:val="6"/>
    <w:autoRedefine/>
    <w:qFormat/>
    <w:uiPriority w:val="0"/>
    <w:pPr>
      <w:keepLines/>
      <w:tabs>
        <w:tab w:val="center" w:pos="4320"/>
        <w:tab w:val="right" w:pos="8640"/>
      </w:tabs>
      <w:spacing w:line="180" w:lineRule="atLeast"/>
    </w:pPr>
    <w:rPr>
      <w:rFonts w:ascii="Arial" w:hAnsi="Arial"/>
      <w:sz w:val="20"/>
    </w:rPr>
  </w:style>
  <w:style w:type="paragraph" w:customStyle="1" w:styleId="211">
    <w:name w:val="Heading Base"/>
    <w:basedOn w:val="6"/>
    <w:next w:val="6"/>
    <w:autoRedefine/>
    <w:qFormat/>
    <w:uiPriority w:val="0"/>
    <w:pPr>
      <w:keepNext/>
      <w:keepLines/>
      <w:spacing w:line="180" w:lineRule="atLeast"/>
    </w:pPr>
    <w:rPr>
      <w:rFonts w:ascii="Arial Black" w:hAnsi="Arial Black"/>
      <w:spacing w:val="-10"/>
      <w:kern w:val="28"/>
      <w:sz w:val="20"/>
    </w:rPr>
  </w:style>
  <w:style w:type="character" w:customStyle="1" w:styleId="212">
    <w:name w:val="信息标题 Char"/>
    <w:basedOn w:val="39"/>
    <w:link w:val="33"/>
    <w:qFormat/>
    <w:uiPriority w:val="0"/>
    <w:rPr>
      <w:rFonts w:ascii="Arial" w:hAnsi="Arial" w:eastAsia="宋体" w:cs="Times New Roman"/>
      <w:spacing w:val="-5"/>
      <w:kern w:val="0"/>
      <w:sz w:val="20"/>
      <w:szCs w:val="20"/>
    </w:rPr>
  </w:style>
  <w:style w:type="paragraph" w:customStyle="1" w:styleId="213">
    <w:name w:val="Message Header First"/>
    <w:basedOn w:val="33"/>
    <w:next w:val="33"/>
    <w:autoRedefine/>
    <w:qFormat/>
    <w:uiPriority w:val="0"/>
    <w:pPr>
      <w:spacing w:before="220"/>
    </w:pPr>
  </w:style>
  <w:style w:type="character" w:customStyle="1" w:styleId="214">
    <w:name w:val="Message Header Label"/>
    <w:autoRedefine/>
    <w:qFormat/>
    <w:uiPriority w:val="0"/>
    <w:rPr>
      <w:rFonts w:ascii="Arial Black" w:hAnsi="Arial Black"/>
      <w:spacing w:val="-10"/>
      <w:sz w:val="18"/>
    </w:rPr>
  </w:style>
  <w:style w:type="paragraph" w:customStyle="1" w:styleId="215">
    <w:name w:val="Message Header Last"/>
    <w:basedOn w:val="33"/>
    <w:next w:val="6"/>
    <w:autoRedefine/>
    <w:qFormat/>
    <w:uiPriority w:val="0"/>
    <w:pPr>
      <w:pBdr>
        <w:bottom w:val="single" w:color="auto" w:sz="6" w:space="15"/>
      </w:pBdr>
      <w:spacing w:after="320"/>
    </w:pPr>
  </w:style>
  <w:style w:type="paragraph" w:customStyle="1" w:styleId="216">
    <w:name w:val="Return Address"/>
    <w:basedOn w:val="1"/>
    <w:autoRedefine/>
    <w:qFormat/>
    <w:uiPriority w:val="0"/>
    <w:pPr>
      <w:keepLines/>
      <w:framePr w:w="5040" w:hSpace="180" w:wrap="notBeside" w:vAnchor="page" w:hAnchor="page" w:x="1801" w:y="961" w:anchorLock="1"/>
      <w:spacing w:line="200" w:lineRule="atLeast"/>
    </w:pPr>
    <w:rPr>
      <w:spacing w:val="-2"/>
      <w:sz w:val="16"/>
    </w:rPr>
  </w:style>
  <w:style w:type="character" w:customStyle="1" w:styleId="217">
    <w:name w:val="签名 Char"/>
    <w:basedOn w:val="39"/>
    <w:link w:val="25"/>
    <w:autoRedefine/>
    <w:qFormat/>
    <w:uiPriority w:val="0"/>
    <w:rPr>
      <w:rFonts w:ascii="Arial" w:hAnsi="Arial" w:eastAsia="宋体" w:cs="Times New Roman"/>
      <w:spacing w:val="-5"/>
      <w:kern w:val="0"/>
      <w:sz w:val="20"/>
      <w:szCs w:val="20"/>
    </w:rPr>
  </w:style>
  <w:style w:type="paragraph" w:customStyle="1" w:styleId="218">
    <w:name w:val="Signature Job Title"/>
    <w:basedOn w:val="25"/>
    <w:next w:val="1"/>
    <w:autoRedefine/>
    <w:qFormat/>
    <w:uiPriority w:val="0"/>
    <w:pPr>
      <w:spacing w:before="0"/>
    </w:pPr>
  </w:style>
  <w:style w:type="paragraph" w:customStyle="1" w:styleId="219">
    <w:name w:val="Signature Name"/>
    <w:basedOn w:val="25"/>
    <w:next w:val="218"/>
    <w:autoRedefine/>
    <w:qFormat/>
    <w:uiPriority w:val="0"/>
    <w:pPr>
      <w:spacing w:before="720"/>
    </w:pPr>
  </w:style>
  <w:style w:type="paragraph" w:customStyle="1" w:styleId="220">
    <w:name w:val="Default Text"/>
    <w:basedOn w:val="1"/>
    <w:autoRedefine/>
    <w:qFormat/>
    <w:uiPriority w:val="0"/>
    <w:pPr>
      <w:autoSpaceDE w:val="0"/>
      <w:autoSpaceDN w:val="0"/>
      <w:adjustRightInd w:val="0"/>
    </w:pPr>
    <w:rPr>
      <w:rFonts w:ascii="Times New Roman" w:hAnsi="Times New Roman"/>
      <w:spacing w:val="0"/>
      <w:sz w:val="24"/>
      <w:szCs w:val="24"/>
      <w:lang w:eastAsia="en-US"/>
    </w:rPr>
  </w:style>
  <w:style w:type="paragraph" w:customStyle="1" w:styleId="221">
    <w:name w:val="Revision"/>
    <w:autoRedefine/>
    <w:hidden/>
    <w:semiHidden/>
    <w:qFormat/>
    <w:uiPriority w:val="99"/>
    <w:rPr>
      <w:rFonts w:ascii="Arial" w:hAnsi="Arial" w:eastAsia="宋体" w:cs="Times New Roman"/>
      <w:spacing w:val="-5"/>
      <w:kern w:val="0"/>
      <w:sz w:val="20"/>
      <w:szCs w:val="20"/>
      <w:lang w:val="en-US" w:eastAsia="zh-CN" w:bidi="ar-SA"/>
    </w:rPr>
  </w:style>
  <w:style w:type="paragraph" w:styleId="222">
    <w:name w:val="List Paragraph"/>
    <w:basedOn w:val="1"/>
    <w:qFormat/>
    <w:uiPriority w:val="34"/>
    <w:pPr>
      <w:widowControl w:val="0"/>
      <w:ind w:firstLine="420" w:firstLineChars="200"/>
      <w:jc w:val="both"/>
    </w:pPr>
    <w:rPr>
      <w:rFonts w:asciiTheme="minorHAnsi" w:hAnsiTheme="minorHAnsi" w:eastAsiaTheme="minorEastAsia" w:cstheme="minorBidi"/>
      <w:spacing w:val="0"/>
      <w:kern w:val="2"/>
      <w:sz w:val="21"/>
      <w:szCs w:val="22"/>
    </w:rPr>
  </w:style>
  <w:style w:type="paragraph" w:customStyle="1" w:styleId="223">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24">
    <w:name w:val="Mention"/>
    <w:basedOn w:val="39"/>
    <w:autoRedefine/>
    <w:semiHidden/>
    <w:unhideWhenUsed/>
    <w:qFormat/>
    <w:uiPriority w:val="99"/>
    <w:rPr>
      <w:color w:val="2B579A"/>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ABFF5-9B6E-4854-B15C-EB6E09BC2EFB}">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1059</Words>
  <Characters>6037</Characters>
  <Lines>50</Lines>
  <Paragraphs>14</Paragraphs>
  <TotalTime>143</TotalTime>
  <ScaleCrop>false</ScaleCrop>
  <LinksUpToDate>false</LinksUpToDate>
  <CharactersWithSpaces>7082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2017-06-23T03:54:00Z</dcterms:created>
  <dc:creator>liuweina</dc:creator>
  <cp:lastModifiedBy>赵静</cp:lastModifiedBy>
  <cp:lastPrinted>2020-11-26T05:51:00Z</cp:lastPrinted>
  <dcterms:modified xsi:type="dcterms:W3CDTF">2024-11-21T06:31:53Z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0DF127E4BBAA48D09D0EB841A40AF8E1_12</vt:lpwstr>
  </property>
</Properties>
</file>